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683B60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Д</w:t>
      </w:r>
      <w:r w:rsidRPr="00683B60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683B60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72</w:t>
      </w:r>
      <w:r w:rsidRPr="00683B60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683B60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83B60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683B60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683B60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72</w:t>
      </w:r>
      <w:r w:rsidRPr="00683B60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683B60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83B60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683B60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B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683B60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683B60" w:rsidR="005F4F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сентября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683B60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83B60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город Симферополь </w:t>
      </w:r>
    </w:p>
    <w:p w:rsidR="00CA39D6" w:rsidRPr="00683B60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683B60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683B60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3B6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83B60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683B60" w:rsidR="00C50105">
        <w:rPr>
          <w:rFonts w:ascii="Times New Roman" w:hAnsi="Times New Roman" w:cs="Times New Roman"/>
          <w:sz w:val="18"/>
          <w:szCs w:val="18"/>
        </w:rPr>
        <w:t>С</w:t>
      </w:r>
      <w:r w:rsidRPr="00683B60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683B60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683B60" w:rsidR="002111D2">
        <w:rPr>
          <w:rFonts w:ascii="Times New Roman" w:hAnsi="Times New Roman" w:cs="Times New Roman"/>
          <w:sz w:val="18"/>
          <w:szCs w:val="18"/>
        </w:rPr>
        <w:t xml:space="preserve"> </w:t>
      </w:r>
      <w:r w:rsidRPr="00683B60" w:rsidR="00C21A3E">
        <w:rPr>
          <w:rFonts w:ascii="Times New Roman" w:hAnsi="Times New Roman" w:cs="Times New Roman"/>
          <w:sz w:val="18"/>
          <w:szCs w:val="18"/>
        </w:rPr>
        <w:t xml:space="preserve">с участием защитника Погудина Д.М., </w:t>
      </w:r>
      <w:r w:rsidRPr="00683B60">
        <w:rPr>
          <w:rFonts w:ascii="Times New Roman" w:hAnsi="Times New Roman" w:cs="Times New Roman"/>
          <w:sz w:val="18"/>
          <w:szCs w:val="18"/>
        </w:rPr>
        <w:t xml:space="preserve">в открытом судебном заседании дело об административном правонарушении </w:t>
      </w:r>
      <w:r w:rsidRPr="00683B60" w:rsidR="00EA0360">
        <w:rPr>
          <w:rFonts w:ascii="Times New Roman" w:hAnsi="Times New Roman" w:cs="Times New Roman"/>
          <w:sz w:val="18"/>
          <w:szCs w:val="18"/>
        </w:rPr>
        <w:t>(протокол</w:t>
      </w:r>
      <w:r w:rsidRPr="00683B60" w:rsidR="00C21A3E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</w:t>
      </w:r>
      <w:r w:rsidRPr="00683B60" w:rsidR="00EA0360">
        <w:rPr>
          <w:rFonts w:ascii="Times New Roman" w:hAnsi="Times New Roman" w:cs="Times New Roman"/>
          <w:sz w:val="18"/>
          <w:szCs w:val="18"/>
        </w:rPr>
        <w:t>№</w:t>
      </w:r>
      <w:r w:rsidRPr="00683B60">
        <w:rPr>
          <w:rFonts w:ascii="Times New Roman" w:hAnsi="Times New Roman" w:cs="Times New Roman"/>
          <w:sz w:val="18"/>
          <w:szCs w:val="18"/>
        </w:rPr>
        <w:t>082/04/19.6-</w:t>
      </w:r>
      <w:r w:rsidRPr="00683B60" w:rsidR="00C21A3E">
        <w:rPr>
          <w:rFonts w:ascii="Times New Roman" w:hAnsi="Times New Roman" w:cs="Times New Roman"/>
          <w:sz w:val="18"/>
          <w:szCs w:val="18"/>
        </w:rPr>
        <w:t>1683</w:t>
      </w:r>
      <w:r w:rsidRPr="00683B60">
        <w:rPr>
          <w:rFonts w:ascii="Times New Roman" w:hAnsi="Times New Roman" w:cs="Times New Roman"/>
          <w:sz w:val="18"/>
          <w:szCs w:val="18"/>
        </w:rPr>
        <w:t>/202</w:t>
      </w:r>
      <w:r w:rsidRPr="00683B60" w:rsidR="00CA39D6">
        <w:rPr>
          <w:rFonts w:ascii="Times New Roman" w:hAnsi="Times New Roman" w:cs="Times New Roman"/>
          <w:sz w:val="18"/>
          <w:szCs w:val="18"/>
        </w:rPr>
        <w:t>4</w:t>
      </w:r>
      <w:r w:rsidRPr="00683B60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683B60" w:rsidR="00C21A3E">
        <w:rPr>
          <w:rFonts w:ascii="Times New Roman" w:hAnsi="Times New Roman" w:cs="Times New Roman"/>
          <w:sz w:val="18"/>
          <w:szCs w:val="18"/>
        </w:rPr>
        <w:t>31</w:t>
      </w:r>
      <w:r w:rsidRPr="00683B60" w:rsidR="005F4F7F">
        <w:rPr>
          <w:rFonts w:ascii="Times New Roman" w:hAnsi="Times New Roman" w:cs="Times New Roman"/>
          <w:sz w:val="18"/>
          <w:szCs w:val="18"/>
        </w:rPr>
        <w:t>.0</w:t>
      </w:r>
      <w:r w:rsidRPr="00683B60" w:rsidR="00C21A3E">
        <w:rPr>
          <w:rFonts w:ascii="Times New Roman" w:hAnsi="Times New Roman" w:cs="Times New Roman"/>
          <w:sz w:val="18"/>
          <w:szCs w:val="18"/>
        </w:rPr>
        <w:t>7</w:t>
      </w:r>
      <w:r w:rsidRPr="00683B60" w:rsidR="005F4F7F">
        <w:rPr>
          <w:rFonts w:ascii="Times New Roman" w:hAnsi="Times New Roman" w:cs="Times New Roman"/>
          <w:sz w:val="18"/>
          <w:szCs w:val="18"/>
        </w:rPr>
        <w:t>.2024</w:t>
      </w:r>
      <w:r w:rsidRPr="00683B60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683B60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683B6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83B60">
        <w:rPr>
          <w:rFonts w:ascii="Times New Roman" w:hAnsi="Times New Roman" w:cs="Times New Roman"/>
          <w:sz w:val="18"/>
          <w:szCs w:val="18"/>
        </w:rPr>
        <w:t xml:space="preserve">РФ) </w:t>
      </w:r>
      <w:r w:rsidRPr="00683B60" w:rsidR="00EA0360">
        <w:rPr>
          <w:rFonts w:ascii="Times New Roman" w:hAnsi="Times New Roman" w:cs="Times New Roman"/>
          <w:sz w:val="18"/>
          <w:szCs w:val="18"/>
        </w:rPr>
        <w:t>в</w:t>
      </w:r>
      <w:r w:rsidRPr="00683B60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683B60" w:rsidR="00EA0360">
        <w:rPr>
          <w:rFonts w:ascii="Times New Roman" w:hAnsi="Times New Roman" w:cs="Times New Roman"/>
          <w:sz w:val="18"/>
          <w:szCs w:val="18"/>
        </w:rPr>
        <w:t>отношении</w:t>
      </w:r>
      <w:r w:rsidRPr="00683B60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  <w:r w:rsidRPr="00683B60" w:rsidR="005F4F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6D63" w:rsidRPr="00683B60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683B60">
        <w:rPr>
          <w:rFonts w:ascii="Times New Roman" w:hAnsi="Times New Roman" w:cs="Times New Roman"/>
          <w:sz w:val="18"/>
          <w:szCs w:val="18"/>
        </w:rPr>
        <w:t>Дербен</w:t>
      </w:r>
      <w:r w:rsidRPr="00683B60" w:rsidR="00CF1A83">
        <w:rPr>
          <w:rFonts w:ascii="Times New Roman" w:hAnsi="Times New Roman" w:cs="Times New Roman"/>
          <w:sz w:val="18"/>
          <w:szCs w:val="18"/>
        </w:rPr>
        <w:t>ё</w:t>
      </w:r>
      <w:r w:rsidRPr="00683B60">
        <w:rPr>
          <w:rFonts w:ascii="Times New Roman" w:hAnsi="Times New Roman" w:cs="Times New Roman"/>
          <w:sz w:val="18"/>
          <w:szCs w:val="18"/>
        </w:rPr>
        <w:t xml:space="preserve">ва Павла Викторовича, </w:t>
      </w:r>
      <w:r w:rsidRPr="00683B60" w:rsidR="00683B60">
        <w:rPr>
          <w:rFonts w:ascii="Times New Roman" w:hAnsi="Times New Roman" w:cs="Times New Roman"/>
          <w:sz w:val="18"/>
          <w:szCs w:val="18"/>
        </w:rPr>
        <w:t>…..</w:t>
      </w:r>
      <w:r w:rsidRPr="00683B60">
        <w:rPr>
          <w:rFonts w:ascii="Times New Roman" w:hAnsi="Times New Roman" w:cs="Times New Roman"/>
          <w:sz w:val="18"/>
          <w:szCs w:val="18"/>
        </w:rPr>
        <w:t xml:space="preserve"> </w:t>
      </w:r>
      <w:r w:rsidRPr="00683B60" w:rsidR="009A1FD4">
        <w:rPr>
          <w:rFonts w:ascii="Times New Roman" w:hAnsi="Times New Roman" w:cs="Times New Roman"/>
          <w:sz w:val="18"/>
          <w:szCs w:val="18"/>
        </w:rPr>
        <w:t>го</w:t>
      </w:r>
      <w:r w:rsidRPr="00683B60" w:rsidR="00EA0360">
        <w:rPr>
          <w:rFonts w:ascii="Times New Roman" w:hAnsi="Times New Roman" w:cs="Times New Roman"/>
          <w:sz w:val="18"/>
          <w:szCs w:val="18"/>
        </w:rPr>
        <w:t>да ро</w:t>
      </w:r>
      <w:r w:rsidRPr="00683B60" w:rsidR="00150BFA">
        <w:rPr>
          <w:rFonts w:ascii="Times New Roman" w:hAnsi="Times New Roman" w:cs="Times New Roman"/>
          <w:sz w:val="18"/>
          <w:szCs w:val="18"/>
        </w:rPr>
        <w:t>ждения, урожен</w:t>
      </w:r>
      <w:r w:rsidRPr="00683B60" w:rsidR="003A0980">
        <w:rPr>
          <w:rFonts w:ascii="Times New Roman" w:hAnsi="Times New Roman" w:cs="Times New Roman"/>
          <w:sz w:val="18"/>
          <w:szCs w:val="18"/>
        </w:rPr>
        <w:t>ца</w:t>
      </w:r>
      <w:r w:rsidRPr="00683B60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683B60" w:rsidR="00683B60">
        <w:rPr>
          <w:rFonts w:ascii="Times New Roman" w:hAnsi="Times New Roman" w:cs="Times New Roman"/>
          <w:sz w:val="18"/>
          <w:szCs w:val="18"/>
        </w:rPr>
        <w:t>…..</w:t>
      </w:r>
      <w:r w:rsidRPr="00683B60">
        <w:rPr>
          <w:rFonts w:ascii="Times New Roman" w:hAnsi="Times New Roman" w:cs="Times New Roman"/>
          <w:sz w:val="18"/>
          <w:szCs w:val="18"/>
        </w:rPr>
        <w:t xml:space="preserve">, </w:t>
      </w:r>
      <w:r w:rsidRPr="00683B60" w:rsidR="00EA0360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683B60">
        <w:rPr>
          <w:rFonts w:ascii="Times New Roman" w:hAnsi="Times New Roman" w:cs="Times New Roman"/>
          <w:sz w:val="18"/>
          <w:szCs w:val="18"/>
        </w:rPr>
        <w:t>ного</w:t>
      </w:r>
      <w:r w:rsidRPr="00683B60" w:rsidR="00EA0360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683B60" w:rsidR="00683B60">
        <w:rPr>
          <w:rFonts w:ascii="Times New Roman" w:hAnsi="Times New Roman" w:cs="Times New Roman"/>
          <w:sz w:val="18"/>
          <w:szCs w:val="18"/>
        </w:rPr>
        <w:t>…….</w:t>
      </w:r>
      <w:r w:rsidRPr="00683B60">
        <w:rPr>
          <w:rFonts w:ascii="Times New Roman" w:hAnsi="Times New Roman" w:cs="Times New Roman"/>
          <w:sz w:val="18"/>
          <w:szCs w:val="18"/>
        </w:rPr>
        <w:t xml:space="preserve">, </w:t>
      </w:r>
      <w:r w:rsidRPr="00683B60" w:rsidR="003A0980">
        <w:rPr>
          <w:rFonts w:ascii="Times New Roman" w:hAnsi="Times New Roman" w:cs="Times New Roman"/>
          <w:sz w:val="18"/>
          <w:szCs w:val="18"/>
        </w:rPr>
        <w:t xml:space="preserve"> </w:t>
      </w:r>
      <w:r w:rsidRPr="00683B60" w:rsidR="009A1FD4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683B60" w:rsidR="00683B60">
        <w:rPr>
          <w:rFonts w:ascii="Times New Roman" w:hAnsi="Times New Roman" w:cs="Times New Roman"/>
          <w:sz w:val="18"/>
          <w:szCs w:val="18"/>
        </w:rPr>
        <w:t>….</w:t>
      </w:r>
      <w:r w:rsidRPr="00683B60">
        <w:rPr>
          <w:rFonts w:ascii="Times New Roman" w:hAnsi="Times New Roman" w:cs="Times New Roman"/>
          <w:sz w:val="18"/>
          <w:szCs w:val="18"/>
        </w:rPr>
        <w:t xml:space="preserve"> </w:t>
      </w:r>
      <w:r w:rsidRPr="00683B60" w:rsidR="009A1FD4">
        <w:rPr>
          <w:rFonts w:ascii="Times New Roman" w:hAnsi="Times New Roman" w:cs="Times New Roman"/>
          <w:sz w:val="18"/>
          <w:szCs w:val="18"/>
        </w:rPr>
        <w:t xml:space="preserve">номер </w:t>
      </w:r>
      <w:r w:rsidRPr="00683B60" w:rsidR="00683B60">
        <w:rPr>
          <w:rFonts w:ascii="Times New Roman" w:hAnsi="Times New Roman" w:cs="Times New Roman"/>
          <w:sz w:val="18"/>
          <w:szCs w:val="18"/>
        </w:rPr>
        <w:t>…</w:t>
      </w:r>
      <w:r w:rsidRPr="00683B60" w:rsidR="009A1FD4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683B60" w:rsidR="00683B60">
        <w:rPr>
          <w:rFonts w:ascii="Times New Roman" w:hAnsi="Times New Roman" w:cs="Times New Roman"/>
          <w:sz w:val="18"/>
          <w:szCs w:val="18"/>
        </w:rPr>
        <w:t>…</w:t>
      </w:r>
      <w:r w:rsidRPr="00683B60">
        <w:rPr>
          <w:rFonts w:ascii="Times New Roman" w:hAnsi="Times New Roman" w:cs="Times New Roman"/>
          <w:sz w:val="18"/>
          <w:szCs w:val="18"/>
        </w:rPr>
        <w:t xml:space="preserve"> </w:t>
      </w:r>
      <w:r w:rsidRPr="00683B60" w:rsidR="009A1FD4">
        <w:rPr>
          <w:rFonts w:ascii="Times New Roman" w:hAnsi="Times New Roman" w:cs="Times New Roman"/>
          <w:sz w:val="18"/>
          <w:szCs w:val="18"/>
        </w:rPr>
        <w:t xml:space="preserve">г. </w:t>
      </w:r>
      <w:r w:rsidRPr="00683B60" w:rsidR="00683B60">
        <w:rPr>
          <w:rFonts w:ascii="Times New Roman" w:hAnsi="Times New Roman" w:cs="Times New Roman"/>
          <w:sz w:val="18"/>
          <w:szCs w:val="18"/>
        </w:rPr>
        <w:t>….</w:t>
      </w:r>
      <w:r w:rsidRPr="00683B60" w:rsidR="009A1FD4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683B60" w:rsidR="00683B60">
        <w:rPr>
          <w:rFonts w:ascii="Times New Roman" w:hAnsi="Times New Roman" w:cs="Times New Roman"/>
          <w:sz w:val="18"/>
          <w:szCs w:val="18"/>
        </w:rPr>
        <w:t>…</w:t>
      </w:r>
      <w:r w:rsidRPr="00683B60" w:rsidR="009A1FD4">
        <w:rPr>
          <w:rFonts w:ascii="Times New Roman" w:hAnsi="Times New Roman" w:cs="Times New Roman"/>
          <w:sz w:val="18"/>
          <w:szCs w:val="18"/>
        </w:rPr>
        <w:t xml:space="preserve">, занимаемая должность: начальник </w:t>
      </w:r>
      <w:r w:rsidRPr="00683B60">
        <w:rPr>
          <w:rFonts w:ascii="Times New Roman" w:hAnsi="Times New Roman" w:cs="Times New Roman"/>
          <w:sz w:val="18"/>
          <w:szCs w:val="18"/>
        </w:rPr>
        <w:t xml:space="preserve">Центральных электрически сетей </w:t>
      </w:r>
      <w:r w:rsidRPr="00683B60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«Крымэнерго» (далее – ГУП РК «Крымэнерго»),</w:t>
      </w:r>
      <w:r w:rsidRPr="00683B60" w:rsidR="009A1FD4">
        <w:rPr>
          <w:rFonts w:ascii="Times New Roman" w:hAnsi="Times New Roman" w:cs="Times New Roman"/>
          <w:sz w:val="18"/>
          <w:szCs w:val="18"/>
        </w:rPr>
        <w:t xml:space="preserve">  </w:t>
      </w:r>
      <w:r w:rsidRPr="00683B60" w:rsidR="007157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0360" w:rsidRPr="00683B60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683B60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B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УСТАНОВИЛ:</w:t>
      </w:r>
    </w:p>
    <w:p w:rsidR="00276102" w:rsidRPr="00683B60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683B60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683B60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протоколу об административном правонарушении от 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</w:t>
      </w:r>
      <w:r w:rsidRPr="00683B60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683B60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г. 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делу </w:t>
      </w:r>
      <w:r w:rsidRPr="00683B60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№082/04/19.6-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1683</w:t>
      </w:r>
      <w:r w:rsidRPr="00683B60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 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ё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П.В.,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будучи должностным лицом 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начальником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электрических сетей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Крым и городу Севастополю (далее - Крымское межрегиональное УФАС России) от 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683B60" w:rsidR="00C446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83B60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683B60" w:rsidR="00825B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№ 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ВЕ</w:t>
      </w:r>
      <w:r w:rsidRPr="00683B60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683B60" w:rsidR="00C21A3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8210/24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683B60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04/9.21-</w:t>
      </w:r>
      <w:r w:rsidRPr="00683B60" w:rsidR="003434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1122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чем нарушил требования </w:t>
      </w:r>
      <w:r w:rsidRPr="00683B60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683B60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343426" w:rsidRPr="00683B60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683B60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>В судебно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</w:t>
      </w:r>
      <w:r w:rsidRPr="00683B60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заседани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</w:t>
      </w:r>
      <w:r w:rsidRPr="00683B60" w:rsidR="002111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лицо, привлекаемое к административной ответственности 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683B60" w:rsidR="002111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Дербенёв П.В.</w:t>
      </w:r>
      <w:r w:rsidRPr="00683B60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 явился</w:t>
      </w:r>
      <w:r w:rsidRPr="00683B60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 дате, месте и времени рассмотрения дела 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извещен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надлежащим образом. </w:t>
      </w:r>
    </w:p>
    <w:p w:rsidR="00BC359E" w:rsidRPr="00683B60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Защитник Дербенёва П.В.</w:t>
      </w:r>
      <w:r w:rsidRPr="00683B60">
        <w:rPr>
          <w:sz w:val="18"/>
          <w:szCs w:val="18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Погудин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Д.М. в судебном заседании 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против привлечения к административной ответственности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Дербенёва П.В. 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возража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 по основаниям, изложенным в письменных пояснениях, приобщенных в материалы дела</w:t>
      </w:r>
      <w:r w:rsidRPr="00683B60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</w:t>
      </w:r>
      <w:r w:rsidRPr="00683B60" w:rsidR="003A09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казывает, что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предприятием предприняты меры к устранению причин и условий, способствовавших совершению административного правонарушения, поскольку по состоянию на 01.07.2024 г. на территории, обслуживаемой Симферопольским РЭС ЦЭС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выполнены мероприятия, предусмотренные техническими условиями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рамках 2330 договоров. Непосредственно по технологическому подключению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Братковского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сетевой организацией принимаются меры, направленные на технологическое присоединение объекта к электрическим сетям предприятия, о чем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установленный месячный срок письмом от 02.07.2024 г. исх. № 448/31701 было извещено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Крымское межрегиональное УФАС России. Неосуществление технологического присоединения энергопринимающих устройств 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Братковского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месячный срок связано исключительно с большой нагрузкой на работников предприятия. Таким образом, представление Крымского межрегионального УФАС России удовлетворено и исполнено. Кроме того указывает, что вопрос об осуществлении технологического присоединения энергопринимающи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х устройств заявителя не является объективной стороной административного правонарушения, предусмотренного ст.19.6 КоАП РФ. За неосуществление техприсоединения устройств 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Братковского</w:t>
      </w:r>
      <w:r w:rsidRPr="00683B60" w:rsidR="00CF1A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уже было привлечено к административной ответственности по ч. 2 ст.9.21 КоАП РФ, а соответственно, привлечение должностного лица будет означать двойную ответственность. </w:t>
      </w:r>
    </w:p>
    <w:p w:rsidR="00150BFA" w:rsidRPr="00683B60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683B60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683B60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683B60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683B60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683B60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683B60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683B60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683B60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683B60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683B60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683B60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683B60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683B60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683B60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683B60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683B60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течение месяца со дня его получения и сообщить о принятых мерах судье, в орган, должностному лицу, внесшим представление. </w:t>
      </w:r>
    </w:p>
    <w:p w:rsidR="00A802BF" w:rsidRPr="00683B60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683B60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по делу об административном правонарушении № 082/04/9.21-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1122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/2024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38-40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683B60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683B60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срок не 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осуществлено технологическое присоединение к энергетическим сетям энергопринимающих устройств</w:t>
      </w:r>
      <w:r w:rsidRPr="00683B60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Братковского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Е.В. 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согласно договору от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683B60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683B60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683B60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460/45/005-2824-23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Л</w:t>
      </w:r>
      <w:r w:rsidRPr="00683B60" w:rsidR="006F791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осуществлении технологического присоединения к электрическим сетям, </w:t>
      </w:r>
      <w:r w:rsidRPr="00683B60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адресу: Республика Крым, 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Симферопольский район, Трудовское сельское поселение, 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Денисовка, ул. Озерная, 22, </w:t>
      </w:r>
      <w:r w:rsidRPr="00683B60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683B60" w:rsidR="001930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№ 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90: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170201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54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B6491A" w:rsidRPr="00683B60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683B60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683B60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 согласно ст. 29.13 КоАП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683B60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683B60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683B60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683B60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683B60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683B60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8210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Представление было получено ГУП РК «Крымэнерго» </w:t>
      </w:r>
      <w:r w:rsidRPr="00683B60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года, что подтверждается </w:t>
      </w:r>
      <w:r w:rsidRPr="00683B60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</w:t>
      </w:r>
      <w:r w:rsidRPr="00683B60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683B60" w:rsidR="003530A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4547917</w:t>
      </w:r>
      <w:r w:rsidRPr="00683B60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34</w:t>
      </w:r>
      <w:r w:rsidRPr="00683B60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0C62" w:rsidRPr="00683B60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683B60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осуществить технологическое присоединение к электрическим сетям энергопринимающих устройств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Братковского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Е.В. </w:t>
      </w:r>
      <w:r w:rsidRPr="00683B60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договору об осуществлении технологического присоединения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</w:t>
      </w:r>
      <w:r w:rsidRPr="00683B60" w:rsidR="00E33739">
        <w:rPr>
          <w:sz w:val="18"/>
          <w:szCs w:val="18"/>
        </w:rPr>
        <w:t xml:space="preserve">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14.09.2023 г. № 460/45/005-2824-23ЛК</w:t>
      </w:r>
      <w:r w:rsidRPr="00683B60" w:rsidR="004C02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683B60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энергопринимающих устройств потребителей электрической энергии, утвержденных 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83B6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 №861</w:t>
      </w:r>
      <w:r w:rsidRPr="00683B60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683B60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683B60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 выполнены</w:t>
      </w:r>
      <w:r w:rsidRPr="00683B60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частично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Согласно письму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и.о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.д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иректора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инвестициям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</w:t>
      </w:r>
      <w:r w:rsidRPr="00683B60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Клименко Д.В. </w:t>
      </w:r>
      <w:r w:rsidRPr="00683B60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№448/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31701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460/45/005-2824-23ЛК</w:t>
      </w:r>
      <w:r w:rsidRPr="00683B60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</w:t>
      </w:r>
      <w:r w:rsidRPr="00683B60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Братковским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Е.В.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683B60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В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683B60" w:rsidR="001F53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8210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начальник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ЭС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Дербенёв П.В.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683B60" w:rsidR="00787E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683B60" w:rsidR="00343F7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,8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683B60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343F7E" w:rsidRPr="00683B60" w:rsidP="008A2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Указанные обстоятельства послужили основанием для составления в отношении </w:t>
      </w:r>
      <w:r w:rsidRPr="00683B60" w:rsidR="009A1FD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ЦЭ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</w:t>
      </w:r>
      <w:r w:rsidRPr="00683B60" w:rsidR="00CE606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ё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ва П.В.</w:t>
      </w:r>
      <w:r w:rsidRPr="00683B60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протокола об административном правонарушении от 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31.</w:t>
      </w:r>
      <w:r w:rsidRPr="00683B60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683B60" w:rsidR="00E3373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683B60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.2024 г. по настоящему делу. </w:t>
      </w:r>
    </w:p>
    <w:p w:rsidR="006527AE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Мировой судья не соглашается с выводами лица, составившего протокол об административном правонарушении, о наличии в действиях должностного лица 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состава административного правонарушения, предусмотренного ст.19.6 КоАП РФ. 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6527AE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Так, статья 29.13 КоАП РФ обязывает организации и должностных лиц  рассмотреть представление об устранении причин и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 </w:t>
      </w:r>
    </w:p>
    <w:p w:rsidR="006527AE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Состав административного правонарушения, предусмотренного 19.6 КоАП РФ,  предусматривает 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лица. </w:t>
      </w:r>
    </w:p>
    <w:p w:rsidR="006527AE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Однако, как усматривается из материалов дела, ГУП РК «Крымэнерго» 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представлени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Крымского межрегионального УФАС России от 30.05.2024 г. № ВЕ/8210/24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своевременно рассмотрено, организацией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были приняты меры по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устранению причин и условий, способствовавших совершению административного правонарушения, что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подтверждается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письмо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ГУП РК «Крымэнерго» от 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02.07.2024 г. исх. № 448/31701. </w:t>
      </w:r>
    </w:p>
    <w:p w:rsidR="006527AE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Так, согласно представлению Крымского межрегионального УФАС России от 30.05.2024 г. № ВЕ/8210/24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причинами и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условиями, способствовавшими совершению административного правонарушения являлись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следующие причины и условия: пренебрежительное отношение сотрудников ГУП РК «Крымэнерго» к </w:t>
      </w:r>
      <w:r w:rsidRPr="00683B60" w:rsidR="001B68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соблюдению правил и норм действующего законодательства; отсутствие должностного контроля со стороны руководства предприятия за деятельностью своих подчиненных сотрудников.  </w:t>
      </w:r>
    </w:p>
    <w:p w:rsidR="006527AE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ГУП РК «Крымэнерго» от 02.07.2024 г. исх. № 448/31701 организацией приняты 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следующие меры,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направленные на устранение причин и условий, способствовавших совершению административного правонарушения, а в частности: организован на постоянной основе мониторинг и комплексный анализ базы технологических присоединений с формированием основных направлений работы по ликвидации нарушенных обязательств; организован контроль над снижением просроченных обязательств по структурным подразделения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м(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ежедневно проводятся совещания с заслушиванием руководителей); организован контроль над договорами </w:t>
      </w:r>
      <w:r w:rsidRPr="00683B60" w:rsidR="00307A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технологического присоединения, которые могут войти в разряд просроченных - ежедневно; организована регулярная закупка необходимых для строительства материалов и оборудования, их доставка в подведомственные структурные подразделения; осуществляется обеспечение необходимым транспортом и другой техникой и т.д.   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307AA3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Также в письме указано, что по договору о технологическом присоединении с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Братковским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Е.В., организацией определена оптимальная трасса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проклади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ЛЭП-0,4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кВ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 границе участка заявителя, по данной трассе длина ЛЭП составляет 120 метров. С целью осуществления технологического присоединения подготавливается техническое задание, после утверждения ТЗ и разработки ПСД, запланировано выполнение работ по объекту в срок до 31.08.2024 г. </w:t>
      </w:r>
    </w:p>
    <w:p w:rsidR="00307AA3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Таким образом, ГУП РК «Крымэнерго» были приняты меры по представлению Крымского межрегионального УФАС России от 30.05.2024 г. № ВЕ/8210/24. </w:t>
      </w:r>
    </w:p>
    <w:p w:rsidR="00307AA3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 этом само по себе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неподключение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энергопринимающих устройств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Братковского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Е.В. к энергетическим сетям предприятия не образу</w:t>
      </w:r>
      <w:r w:rsidRPr="00683B60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 в действиях </w:t>
      </w:r>
      <w:r w:rsidRPr="00683B60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должностных лиц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состава вменяемого </w:t>
      </w:r>
      <w:r w:rsidRPr="00683B60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Дербенёву</w:t>
      </w:r>
      <w:r w:rsidRPr="00683B60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П.В.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административного правонарушения, </w:t>
      </w:r>
      <w:r w:rsidRPr="00683B60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</w:t>
      </w:r>
      <w:r w:rsidRPr="00683B60" w:rsidR="001809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не явля</w:t>
      </w:r>
      <w:r w:rsidRPr="00683B60" w:rsidR="004B0B8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683B60" w:rsidR="001809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тся ни причиной, ни условием совершения административного правонарушения, а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образуют состав </w:t>
      </w:r>
      <w:r w:rsidRPr="00683B60" w:rsidR="001809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иного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административного правонарушения, предусмотренного ч. 2 тс. 9.21 КоАП РФ, за что ГУП РК «Крымэнерго» уже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было привлечено к административной ответственности постановлением Крымского межрегионального УФАС России от 30.05.2024 г. по делу № 082/049.21-1122/2024. </w:t>
      </w:r>
    </w:p>
    <w:p w:rsidR="00715726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части 1 статьи 1.5, части 1 статьи 2.1 и статьи 2.2 КоАП РФ субъекты административных правонарушений подлежат ответственности только при наличии вины.  </w:t>
      </w:r>
    </w:p>
    <w:p w:rsidR="00715726" w:rsidRPr="00683B60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440E30" w:rsidRPr="00683B6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683B60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материалах дела отсутствуют доказательства, которые </w:t>
      </w:r>
      <w:r w:rsidRPr="00683B60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подтверждают </w:t>
      </w:r>
      <w:r w:rsidRPr="00683B60" w:rsidR="007157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факт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неисполнения Дербенёвым П.В. своих должностных обязанностей. Материалы дела содержат доказательства рассмотрения и 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принятия ГУП РК «Крымэнерго» мер по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представлени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ю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Крымского межрегионального УФАС России от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.2024 г. №В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8210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/24.</w:t>
      </w:r>
      <w:r w:rsidRPr="00683B60" w:rsidR="00FC15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15726" w:rsidRPr="00683B60" w:rsidP="0044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  <w:r w:rsidRPr="00683B60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15726" w:rsidRPr="00683B60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пункта 2 части 1 статьи 24.5 Кодекса Российской Федерации                                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                       об административном правонарушении. </w:t>
      </w:r>
    </w:p>
    <w:p w:rsidR="00715726" w:rsidRPr="00683B6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Учитывая изложенное выше, 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683B60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ЭС ГУП РК «Крымэнерго»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подлежит прекращению ввиду наличия обстоятельств, исключающих производство по делу, а именно в связи с отсутствием состава административного правонарушения.  </w:t>
      </w:r>
    </w:p>
    <w:p w:rsidR="00715726" w:rsidRPr="00683B6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Руководствуясь статьями 24.5, 29.9, 29.10 Кодекса Российской Федерации об административных правонарушениях, мировой судья - </w:t>
      </w:r>
    </w:p>
    <w:p w:rsidR="00715726" w:rsidRPr="00683B6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683B6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</w:t>
      </w:r>
      <w:r w:rsidRPr="00683B60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</w:t>
      </w:r>
      <w:r w:rsidRPr="00683B60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ПОСТАНОВИЛ:</w:t>
      </w:r>
    </w:p>
    <w:p w:rsidR="00715726" w:rsidRPr="00683B6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715726" w:rsidRPr="00683B6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683B60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Pr="00683B60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начальника </w:t>
      </w:r>
      <w:r w:rsidRPr="00683B60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Центральных электрических сетей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Государственного унитарного предприятия Республики Крым «Крымэнерго» </w:t>
      </w:r>
      <w:r w:rsidRPr="00683B60" w:rsidR="00440E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Дербенёва Павла Викторовича</w:t>
      </w:r>
      <w:r w:rsidRPr="00683B60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83B60" w:rsid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683B60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года рождения, </w:t>
      </w:r>
      <w:r w:rsidRPr="00683B60" w:rsidR="007155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прекратить на основании пункта 2 части 1 статьи 24.5 Кодекса Российской Федерации об административных правонарушениях в связи с отсутствием в е</w:t>
      </w:r>
      <w:r w:rsidRPr="00683B60" w:rsidR="000D132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го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действиях состава административного правонарушения.  </w:t>
      </w:r>
    </w:p>
    <w:p w:rsidR="007A32ED" w:rsidRPr="00683B60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B60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683B60" w:rsidR="0071558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683B60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683B60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</w:p>
    <w:p w:rsidR="005172B0" w:rsidRPr="00683B60" w:rsidP="000D13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Мировой судья</w:t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83B60" w:rsidR="0071558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683B6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С.А. Москаленко</w:t>
      </w:r>
      <w:r w:rsidRPr="00683B60" w:rsidR="006626B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83B60" w:rsidR="000D13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Sect="008F6097">
      <w:headerReference w:type="default" r:id="rId5"/>
      <w:foot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6D3C"/>
    <w:rsid w:val="00024A1A"/>
    <w:rsid w:val="000307C1"/>
    <w:rsid w:val="00031AFA"/>
    <w:rsid w:val="00036CCB"/>
    <w:rsid w:val="000A601F"/>
    <w:rsid w:val="000B2083"/>
    <w:rsid w:val="000B249F"/>
    <w:rsid w:val="000D11CE"/>
    <w:rsid w:val="000D1324"/>
    <w:rsid w:val="000E09B5"/>
    <w:rsid w:val="00125D2A"/>
    <w:rsid w:val="00150BFA"/>
    <w:rsid w:val="00154A20"/>
    <w:rsid w:val="0016480A"/>
    <w:rsid w:val="00180982"/>
    <w:rsid w:val="001813EC"/>
    <w:rsid w:val="00183300"/>
    <w:rsid w:val="00193022"/>
    <w:rsid w:val="0019543C"/>
    <w:rsid w:val="001A132B"/>
    <w:rsid w:val="001B6806"/>
    <w:rsid w:val="001B6D63"/>
    <w:rsid w:val="001C0101"/>
    <w:rsid w:val="001C119B"/>
    <w:rsid w:val="001C4851"/>
    <w:rsid w:val="001D642A"/>
    <w:rsid w:val="001E7F0D"/>
    <w:rsid w:val="001F3E98"/>
    <w:rsid w:val="001F44D0"/>
    <w:rsid w:val="001F53FE"/>
    <w:rsid w:val="002111D2"/>
    <w:rsid w:val="002152BF"/>
    <w:rsid w:val="00266D21"/>
    <w:rsid w:val="00274039"/>
    <w:rsid w:val="00276102"/>
    <w:rsid w:val="0028406E"/>
    <w:rsid w:val="00296FB3"/>
    <w:rsid w:val="002A583F"/>
    <w:rsid w:val="002B2021"/>
    <w:rsid w:val="002F1431"/>
    <w:rsid w:val="00307AA3"/>
    <w:rsid w:val="00311F1B"/>
    <w:rsid w:val="00314BBE"/>
    <w:rsid w:val="0032065E"/>
    <w:rsid w:val="00324224"/>
    <w:rsid w:val="00333121"/>
    <w:rsid w:val="00340552"/>
    <w:rsid w:val="00340632"/>
    <w:rsid w:val="0034261D"/>
    <w:rsid w:val="00343426"/>
    <w:rsid w:val="00343F7E"/>
    <w:rsid w:val="003530AB"/>
    <w:rsid w:val="00354546"/>
    <w:rsid w:val="00354B21"/>
    <w:rsid w:val="0039075E"/>
    <w:rsid w:val="00394326"/>
    <w:rsid w:val="00397AE6"/>
    <w:rsid w:val="003A0980"/>
    <w:rsid w:val="003A371C"/>
    <w:rsid w:val="003B1868"/>
    <w:rsid w:val="003C333E"/>
    <w:rsid w:val="003D3633"/>
    <w:rsid w:val="003E227C"/>
    <w:rsid w:val="004146E4"/>
    <w:rsid w:val="004356D1"/>
    <w:rsid w:val="00440E30"/>
    <w:rsid w:val="00453369"/>
    <w:rsid w:val="00475C89"/>
    <w:rsid w:val="00483079"/>
    <w:rsid w:val="00493494"/>
    <w:rsid w:val="004A59D2"/>
    <w:rsid w:val="004B0B8E"/>
    <w:rsid w:val="004B3BA5"/>
    <w:rsid w:val="004B7EEE"/>
    <w:rsid w:val="004C0252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1488"/>
    <w:rsid w:val="005861C6"/>
    <w:rsid w:val="005C09B0"/>
    <w:rsid w:val="005F4F7F"/>
    <w:rsid w:val="00606D82"/>
    <w:rsid w:val="00640B53"/>
    <w:rsid w:val="00642AA1"/>
    <w:rsid w:val="006527AE"/>
    <w:rsid w:val="0065319A"/>
    <w:rsid w:val="006626B9"/>
    <w:rsid w:val="0066731D"/>
    <w:rsid w:val="00683B60"/>
    <w:rsid w:val="006924C8"/>
    <w:rsid w:val="006B33F4"/>
    <w:rsid w:val="006C2065"/>
    <w:rsid w:val="006D09EB"/>
    <w:rsid w:val="006E7AE5"/>
    <w:rsid w:val="006F791F"/>
    <w:rsid w:val="007111DE"/>
    <w:rsid w:val="00715581"/>
    <w:rsid w:val="00715726"/>
    <w:rsid w:val="00721883"/>
    <w:rsid w:val="00787EEA"/>
    <w:rsid w:val="007A13D2"/>
    <w:rsid w:val="007A32ED"/>
    <w:rsid w:val="007A4B3D"/>
    <w:rsid w:val="007C27B7"/>
    <w:rsid w:val="007D7827"/>
    <w:rsid w:val="007F3ABD"/>
    <w:rsid w:val="007F6DBD"/>
    <w:rsid w:val="00804422"/>
    <w:rsid w:val="00812158"/>
    <w:rsid w:val="0082510D"/>
    <w:rsid w:val="00825B68"/>
    <w:rsid w:val="00830736"/>
    <w:rsid w:val="00843744"/>
    <w:rsid w:val="0085187F"/>
    <w:rsid w:val="008757E7"/>
    <w:rsid w:val="00884FEB"/>
    <w:rsid w:val="008A225A"/>
    <w:rsid w:val="008C12DB"/>
    <w:rsid w:val="008C6367"/>
    <w:rsid w:val="008E3E41"/>
    <w:rsid w:val="008F6097"/>
    <w:rsid w:val="00913E68"/>
    <w:rsid w:val="00922B6E"/>
    <w:rsid w:val="0092676E"/>
    <w:rsid w:val="00952EFC"/>
    <w:rsid w:val="00973BA5"/>
    <w:rsid w:val="00973F0C"/>
    <w:rsid w:val="00976C93"/>
    <w:rsid w:val="009A1774"/>
    <w:rsid w:val="009A1FD4"/>
    <w:rsid w:val="009A47B7"/>
    <w:rsid w:val="009B45DD"/>
    <w:rsid w:val="009B7F67"/>
    <w:rsid w:val="009C3D80"/>
    <w:rsid w:val="009D75E5"/>
    <w:rsid w:val="009E08A9"/>
    <w:rsid w:val="009E0B0B"/>
    <w:rsid w:val="009E2A2D"/>
    <w:rsid w:val="009E59F2"/>
    <w:rsid w:val="009F3F03"/>
    <w:rsid w:val="00A032FF"/>
    <w:rsid w:val="00A2550E"/>
    <w:rsid w:val="00A50C62"/>
    <w:rsid w:val="00A56936"/>
    <w:rsid w:val="00A802BF"/>
    <w:rsid w:val="00A86B2B"/>
    <w:rsid w:val="00A90FAC"/>
    <w:rsid w:val="00AA727E"/>
    <w:rsid w:val="00AE7D81"/>
    <w:rsid w:val="00AF0B2B"/>
    <w:rsid w:val="00AF3835"/>
    <w:rsid w:val="00B6491A"/>
    <w:rsid w:val="00B84ABF"/>
    <w:rsid w:val="00BA50EA"/>
    <w:rsid w:val="00BB0419"/>
    <w:rsid w:val="00BB121B"/>
    <w:rsid w:val="00BB20CD"/>
    <w:rsid w:val="00BC359E"/>
    <w:rsid w:val="00BD0C5E"/>
    <w:rsid w:val="00BE31EF"/>
    <w:rsid w:val="00BE7AF9"/>
    <w:rsid w:val="00C16037"/>
    <w:rsid w:val="00C21A3E"/>
    <w:rsid w:val="00C31CFB"/>
    <w:rsid w:val="00C44650"/>
    <w:rsid w:val="00C50105"/>
    <w:rsid w:val="00C53819"/>
    <w:rsid w:val="00C66D07"/>
    <w:rsid w:val="00C7177A"/>
    <w:rsid w:val="00C86BD5"/>
    <w:rsid w:val="00C95F57"/>
    <w:rsid w:val="00CA39D6"/>
    <w:rsid w:val="00CD63A3"/>
    <w:rsid w:val="00CE6069"/>
    <w:rsid w:val="00CF1A83"/>
    <w:rsid w:val="00CF5C27"/>
    <w:rsid w:val="00D15426"/>
    <w:rsid w:val="00D4022C"/>
    <w:rsid w:val="00D82AA8"/>
    <w:rsid w:val="00D87D7F"/>
    <w:rsid w:val="00DC7661"/>
    <w:rsid w:val="00DD70B0"/>
    <w:rsid w:val="00DE0693"/>
    <w:rsid w:val="00E00D74"/>
    <w:rsid w:val="00E25310"/>
    <w:rsid w:val="00E33739"/>
    <w:rsid w:val="00E338EE"/>
    <w:rsid w:val="00E3497B"/>
    <w:rsid w:val="00E47F2E"/>
    <w:rsid w:val="00E553D6"/>
    <w:rsid w:val="00E67A75"/>
    <w:rsid w:val="00E82207"/>
    <w:rsid w:val="00EA0360"/>
    <w:rsid w:val="00EA4FA9"/>
    <w:rsid w:val="00EA5381"/>
    <w:rsid w:val="00EB20C5"/>
    <w:rsid w:val="00EB57B7"/>
    <w:rsid w:val="00ED4534"/>
    <w:rsid w:val="00EE150B"/>
    <w:rsid w:val="00EE1CBF"/>
    <w:rsid w:val="00EF122E"/>
    <w:rsid w:val="00F36229"/>
    <w:rsid w:val="00F432E8"/>
    <w:rsid w:val="00F4579E"/>
    <w:rsid w:val="00FC15AA"/>
    <w:rsid w:val="00FC2FA2"/>
    <w:rsid w:val="00FC6C0B"/>
    <w:rsid w:val="00FD054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30B48-EC40-4089-8603-7C3A446B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