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№05-0036/14/2024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 xml:space="preserve"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 фио, паспортные данные, женатого, имеющего одного малолетнего ребёнка, зарегистрированного по адресу адрес, со слов фактически проживающего по адресу: адрес Армии, дом 111, кв. 52, со слов работающего монтажником наименование организации, паспорт гражданина России серия 3914 №583437,</w:t>
      </w:r>
    </w:p>
    <w:p w:rsidR="00A77B3E"/>
    <w:p w:rsidR="00A77B3E">
      <w:r>
        <w:t>у с т а н о в и л :</w:t>
      </w:r>
    </w:p>
    <w:p w:rsidR="00A77B3E"/>
    <w:p w:rsidR="00A77B3E">
      <w:r>
        <w:t>фио повторно в течение года нарушил установленные решением Киевского районного суда адрес от дата ограничения, а именно дата в время, находясь под административным надзором пребывал вне жилого помещения, установленного судом (адрес) – в адрес по адрес.</w:t>
      </w:r>
    </w:p>
    <w:p w:rsidR="00A77B3E">
      <w:r>
        <w:t>В судебном заседании фио с нарушением согласился, вину признал, раскаялся в содеянном.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как надлежащие доказательства представленные материалы дела: протокол от дата 8201 №173647 об административном правонарушении, письменные объяснения фио от дата; рапорт от дата и от дата; заключение о заведении дела административного надзора от дата; предупреждение фио от дата; копия решения Киевского районного суда адрес РК от дата; копия решения Киевского районного суда адрес  РК от дата; копия постановления от дата №8201068842 в отношении фио по ч.1 статьи 19.24 КоАП РФ; копия постановления от дата №8201068893 в отношении фио по ч.1 статьи 19.24 КоАП РФ; копия постановления от дата №8201068894 в отношении фио по ч.1 статьи 19.24 КоАП РФ; копия постановления от дата №8201070046 в отношении фио по ч.1 статьи 19.24 КоАП РФ; копия постановления от дата №8201071485 в отношении фио по ч.1 статьи 19.24 КоАП РФ; копия постановления от дата №8201068893 в отношении фио по ч.1 статьи 19.24 КоАП РФ;.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минимальному административному наказанию в виде обязательных работ.</w:t>
      </w:r>
    </w:p>
    <w:p w:rsidR="00A77B3E">
      <w:r>
        <w:t>Руководствуясь статьями 29.10-29.11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по ч.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