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№05-0069/14/2022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фио, являясь директором наименование организации, не представил в установленный законодательством о налогах и сборах срок сведения о доходах физических лиц по форме 2-НДФЛ за дата, чем нарушил требования п.2 ст.230 НК РФ.</w:t>
      </w:r>
    </w:p>
    <w:p w:rsidR="00A77B3E">
      <w:r>
        <w:t>Изучив материалы дела в рамках разрешения вопроса о принятии к производству,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сведения о доходах физических лиц по форме 2-НДФЛ за дата должны были быть представлены до дата, а были поданы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