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№05-0078/14/2022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(участника) наименование организации фио паспортные данные, урож. адрес, ИНН 910304804029, паспортные данные, гражд. России, адрес регистрации: адрес, кв. 35-А, привлекаемой к административной ответственности, предусмотренной частью 5 статьи 14.25 КоАП РФ, –</w:t>
      </w:r>
    </w:p>
    <w:p w:rsidR="00A77B3E"/>
    <w:p w:rsidR="00A77B3E">
      <w:r>
        <w:t>у с т а н о в и л :</w:t>
      </w:r>
    </w:p>
    <w:p w:rsidR="00A77B3E"/>
    <w:p w:rsidR="00A77B3E">
      <w:r>
        <w:t>дата фио приняла решение о создании наименование организации и определении места нахождения Общества по адресу адрес, офис 3-3. дата в МИФНС России №9 по адрес (регистрирующий орган) поступил комплект документов для создания юридического лица. дата наименование организации зарегистрировано с присвоением ОГРН 1189102004827. дата в МИФНС №9 по РК поступило заявление фио о том, что она не является учредителем наименование организации, в связи с чем дата Межрайонной ИФНС России №9 по РК внесена запись о недостоверности сведений, включенных в ЕГРЮЛ об учредителе наименование организации фио</w:t>
      </w:r>
    </w:p>
    <w:p w:rsidR="00A77B3E">
      <w:r>
        <w:t>фио в суд не явилась. О причине неявки суду не сообщила. О времени и месте рассмотрения дела извещалась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учредителя наименование организации фио подтверждается совокупностью собранных по делу доказательств: - протоколом об административном правонарушении №39/5 от дата; распиской о получении документов от дата №1165А; заявлением физического лица о недостоверности сведений о нем в ЕГРЮЛ; решением о госрегистрации от дата №1165А; копией решения единственного учредителя о создании наименование организации от дата; копией заявления о государственной регистрации юридического лица при создании; гарантийным письмом ИП Ордек Эрдинч от дата; копией устава наименование организации; копией платежных поручений об оплате госпошлины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признать учредителя (участника) наименование организации фио – виновной в совершении административного правонарушения, предусмотренного частью 5 статьи 14.25 КоАП РФ и назначить ей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