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№05-0091/14/2022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зарегистрир. по адресу: адрес, привлекаемой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нарушила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явилась. О времени и месте рассмотрения дела извещена надлежаще. О причине неявки не сообщила.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телекоммуникационным каналам связи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№316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 при рассмотрении дела не установлено.</w:t>
      </w:r>
    </w:p>
    <w:p w:rsidR="00A77B3E">
      <w:r>
        <w:t>Учитывая обстоятельства совершенного правонарушения, считаю необходимым подвергнуть директора наименование организации фио административному наказанию в виде штрафа, однако, в минимально предусмотренном санкцией данной части статьи размере.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