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№05-0093/14/2022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адрес, гражд. России, паспортные данные,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директором наименование организации не предоставил в установленный законодательством о налогах и сборах срок единую (упрощенную) декларацию за адрес дата, чем нарушил требования п.5 ст.174 НК РФ.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материалы дела, мировой судья приходит к выводу о наличии в действиях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2 ст. 80 Налогового Кодекса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Единая (упрощенная) декларация за адрес дата была подана в ИФНС России по адрес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протоколом об административном правонарушении от дата; единой (упрощенной) декларацией за адрес дата от дата; актом налоговой проверки от дата; решением о привлечении к ответственности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