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№05-0204/14/2023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 представил в ИФНС России по адрес в установленный законодательством о налогах и сборах срок расчёт сумм налога на доходы физических лиц по форме 6-НДФЛ за 6 месяцев дата.</w:t>
      </w:r>
    </w:p>
    <w:p w:rsidR="00A77B3E">
      <w:r>
        <w:t>Генеральный директор наименование организации фио в судебное заседание не явился, о времени и месте рассмотрения дела извещён надлежаще.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Следовательно, расчет сумм налога на доходы физических лиц, начисленных и удержанных налоговым агентом по форме 6НДФЛ за 6 мес. дата должен был быть представлен по дата, расчет был фактически предоставлен дата.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15.6 КоАП РФ составляет один год со дня совершения правонарушения.</w:t>
      </w:r>
    </w:p>
    <w:p w:rsidR="00A77B3E">
      <w:r>
        <w:t>В данном случае правонарушение не является длящемся и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Руководствуясь статьями 4.5, ч.1 ст.15.6, 24.5,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генерального директора наименование организации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