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05-0227/14/2025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представила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явилась. О времени и месте рассмотрения дела извещена надлежащим образом. О причине неявки не сообщила.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№998494 от дата; копией Формы ЕФС-1 о сдаче сведений о начисленных страховых взносах за адрес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фио признать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