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05-0249/14/2025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генерального директора наименование организации фио Мажедовича,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мировому судье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№1060868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административного штрафа, предусмотренного санкцией данной статьи.</w:t>
      </w:r>
    </w:p>
    <w:p w:rsidR="00A77B3E">
      <w:r>
        <w:t>Руководствуясь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Мажедовича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виде штрафа в размере сумма.</w:t>
      </w:r>
    </w:p>
    <w:p w:rsidR="00A77B3E">
      <w:r>
        <w:t>Штраф подлежит уплате по реквизитам: получатель УФК по адрес (Отделение Фонда пенсионного и социального страхования Российской Федерации по адрес л/с 04754Ф75010), ИНН телефон, КПП телефон, корр.счет 40102810645370000035, ном. каз/счета 03100643000000017500, банк получателя ОКЦ №7 Южного ГУ Банка России//УФК по адрес, БИК телефон, ОКТМО телефон, КБК 79711601230060003140, УИН:79791010710250338485, назначение платежа: «протокол об административном правонарушении N676986 от дата».</w:t>
      </w:r>
    </w:p>
    <w:p w:rsidR="00A77B3E"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рассрочки.</w:t>
      </w:r>
    </w:p>
    <w:p w:rsidR="00A77B3E">
      <w:r>
        <w:t>Оригинал квитанции об оплате административного штрафа необходимо предоставить в судебный участок, как документ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установленный законом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