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№05-0280/14/2023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женатого, имеющего одного малолетнего ребёнка, официально работающего администратором базы данных наименование организации, зарегистрированного по адресу: адрес, со слов фактически проживающего по адресу: адрес,</w:t>
      </w:r>
    </w:p>
    <w:p w:rsidR="00A77B3E"/>
    <w:p w:rsidR="00A77B3E">
      <w:r>
        <w:t>у с т а н о в и л :</w:t>
      </w:r>
    </w:p>
    <w:p w:rsidR="00A77B3E">
      <w:r>
        <w:t>дата, более точное время правоохранительными органами не установлено, фио на адрес в адрес употребил наркотические средства 11-нор-9-тетрагидроканнабиноловая кислота, габапентин, дифенгидрамин,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№164807 от дата в отношении фио по ч.1 статьи 6.9 КоАП РФ; письменными объяснениями фио от дата; Актом медицинского освидетельствования на состояние опьянения №1878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0410760300145002802306139.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