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№05-0348/14/2022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Гузарь фио, паспортные данные, урож. адрес, гражд. России, паспортные данные, со слов не официально работающего разнорабочим в сфере строительства, холостого, имеющего одного малолетнего ребёнка, зарегистрированного по адресу адрес, со слов фактически проживающего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№8201056486.</w:t>
      </w:r>
    </w:p>
    <w:p w:rsidR="00A77B3E">
      <w:r>
        <w:t>фио в судебном заседании пояснил, что забыл об оплате штрафа, в совершенном правонарушении раскаивается и вину признает.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начальника отдела полиции ОП № 2 «Киевский» по адрес от дата №8201056486 фио был признан виновным в совершении административного правонарушения, предусмотренного ст.20.21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 01 №062533; копией постановления по делу об административном правонарушении №8201056486 от дата;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Смягчающими обстоятельствами являются признание вины и чистосердечное раскаяние.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Гузарь 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0410760300145003482220108.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