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0F5D67">
        <w:rPr>
          <w:rFonts w:ascii="Times New Roman" w:eastAsia="Times New Roman" w:hAnsi="Times New Roman" w:cs="Times New Roman"/>
          <w:b/>
          <w:color w:val="000000"/>
          <w:sz w:val="28"/>
        </w:rPr>
        <w:t>23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 xml:space="preserve"> марта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</w:t>
      </w:r>
      <w:r w:rsidRPr="00B55383">
        <w:rPr>
          <w:rFonts w:ascii="Times New Roman" w:eastAsia="Times New Roman" w:hAnsi="Times New Roman" w:cs="Times New Roman"/>
          <w:sz w:val="28"/>
        </w:rPr>
        <w:t xml:space="preserve">дресу: </w:t>
      </w:r>
      <w:r w:rsidRPr="00B55383" w:rsidR="004B558E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55383">
        <w:rPr>
          <w:rFonts w:ascii="Times New Roman" w:eastAsia="Times New Roman" w:hAnsi="Times New Roman" w:cs="Times New Roman"/>
          <w:sz w:val="28"/>
        </w:rPr>
        <w:t>г. Симферополь, ул. Крымских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Голубович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Александра Александровича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Голубович А.А.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63A3C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63A3C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 w:rsidR="00021E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63A3C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Pr="00DC432B" w:rsidR="00476DF9">
        <w:rPr>
          <w:rFonts w:ascii="Times New Roman" w:eastAsia="Times New Roman" w:hAnsi="Times New Roman" w:cs="Times New Roman"/>
          <w:sz w:val="28"/>
        </w:rPr>
        <w:t>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возмущался, нецензурно выражался в коридоре, </w:t>
      </w:r>
      <w:r w:rsidR="007F2A9F">
        <w:rPr>
          <w:rFonts w:ascii="Times New Roman" w:eastAsia="Times New Roman" w:hAnsi="Times New Roman" w:cs="Times New Roman"/>
          <w:sz w:val="28"/>
        </w:rPr>
        <w:t>привлекая</w:t>
      </w:r>
      <w:r w:rsidR="00715579">
        <w:rPr>
          <w:rFonts w:ascii="Times New Roman" w:eastAsia="Times New Roman" w:hAnsi="Times New Roman" w:cs="Times New Roman"/>
          <w:sz w:val="28"/>
        </w:rPr>
        <w:t xml:space="preserve"> к 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себе внимание окружающих.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Голубович А.А.</w:t>
      </w:r>
      <w:r w:rsidR="007155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возмущаться,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внимания, вести себя агрессивно, своим поведением меша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канцелярии суда,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Голубович А.А.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6048BD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Голубович А.А</w:t>
      </w:r>
      <w:r w:rsidRPr="006048BD" w:rsidR="009F045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4ED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места </w:t>
      </w:r>
      <w:r w:rsidRPr="00224ED3">
        <w:rPr>
          <w:rFonts w:ascii="Times New Roman" w:hAnsi="Times New Roman" w:cs="Times New Roman"/>
          <w:sz w:val="28"/>
          <w:szCs w:val="28"/>
        </w:rPr>
        <w:t xml:space="preserve">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6048BD">
        <w:rPr>
          <w:rFonts w:ascii="Times New Roman" w:eastAsia="Times New Roman" w:hAnsi="Times New Roman" w:cs="Times New Roman"/>
          <w:sz w:val="28"/>
        </w:rPr>
        <w:t>Учитыва</w:t>
      </w:r>
      <w:r w:rsidRPr="006048BD">
        <w:rPr>
          <w:rFonts w:ascii="Times New Roman" w:eastAsia="Times New Roman" w:hAnsi="Times New Roman" w:cs="Times New Roman"/>
          <w:sz w:val="28"/>
        </w:rPr>
        <w:t xml:space="preserve">я, что от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Голубовича А.А</w:t>
      </w:r>
      <w:r w:rsidRPr="006048BD" w:rsidR="000F5D6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Голубович А.А</w:t>
      </w:r>
      <w:r w:rsidRPr="006048BD" w:rsidR="000F5D6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правонарушение, предусмотренное ч.2 ст.17.3 КоАП РФ, а именно: неисполнение законного распоряжения судебного пристава по обеспече</w:t>
      </w:r>
      <w:r w:rsidRPr="00DC432B">
        <w:rPr>
          <w:rFonts w:ascii="Times New Roman" w:eastAsia="Times New Roman" w:hAnsi="Times New Roman" w:cs="Times New Roman"/>
          <w:sz w:val="28"/>
        </w:rPr>
        <w:t xml:space="preserve">нию </w:t>
      </w:r>
      <w:r w:rsidRPr="00DC432B">
        <w:rPr>
          <w:rFonts w:ascii="Times New Roman" w:eastAsia="Times New Roman" w:hAnsi="Times New Roman" w:cs="Times New Roman"/>
          <w:sz w:val="28"/>
        </w:rPr>
        <w:t xml:space="preserve">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Статьей 6.1.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N 118 от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 исполнения, Федеральная служба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аконные требования судебного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</w:t>
      </w:r>
      <w:r w:rsidRPr="00DC432B">
        <w:rPr>
          <w:rFonts w:ascii="Times New Roman" w:eastAsia="Times New Roman" w:hAnsi="Times New Roman" w:cs="Times New Roman"/>
          <w:sz w:val="28"/>
        </w:rPr>
        <w:t>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</w:t>
      </w:r>
      <w:r w:rsidRPr="00DC432B">
        <w:rPr>
          <w:rFonts w:ascii="Times New Roman" w:eastAsia="Times New Roman" w:hAnsi="Times New Roman" w:cs="Times New Roman"/>
          <w:sz w:val="28"/>
        </w:rPr>
        <w:t>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В соответствии со статьей 14 данного Федеральн</w:t>
      </w:r>
      <w:r w:rsidRPr="00DC432B">
        <w:rPr>
          <w:rFonts w:ascii="Times New Roman" w:eastAsia="Times New Roman" w:hAnsi="Times New Roman" w:cs="Times New Roman"/>
          <w:sz w:val="28"/>
        </w:rPr>
        <w:t xml:space="preserve">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</w:t>
      </w:r>
      <w:r w:rsidRPr="000753C9">
        <w:rPr>
          <w:rFonts w:ascii="Times New Roman" w:eastAsia="Times New Roman" w:hAnsi="Times New Roman" w:cs="Times New Roman"/>
          <w:sz w:val="28"/>
        </w:rPr>
        <w:t xml:space="preserve">влекут ответственность, установленную законодательством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Нормы поведения граждан (посетителей) в здании и служебных помещениях Центрального районного суда г. Симферополя Республики Крым, направленные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нарушения посетителями суда настоящих Правил руководство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0F5D67" w:rsidRPr="00715579" w:rsidP="000F5D6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Голубович А.А.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19.02.2024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57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Pr="00DC432B">
        <w:rPr>
          <w:rFonts w:ascii="Times New Roman" w:eastAsia="Times New Roman" w:hAnsi="Times New Roman" w:cs="Times New Roman"/>
          <w:sz w:val="28"/>
        </w:rPr>
        <w:t>. Симф</w:t>
      </w:r>
      <w:r>
        <w:rPr>
          <w:rFonts w:ascii="Times New Roman" w:eastAsia="Times New Roman" w:hAnsi="Times New Roman" w:cs="Times New Roman"/>
          <w:sz w:val="28"/>
        </w:rPr>
        <w:t xml:space="preserve">ерополь, ул. Турецкая, д. </w:t>
      </w:r>
      <w:r>
        <w:rPr>
          <w:rFonts w:ascii="Times New Roman" w:eastAsia="Times New Roman" w:hAnsi="Times New Roman" w:cs="Times New Roman"/>
          <w:sz w:val="28"/>
        </w:rPr>
        <w:t xml:space="preserve">21/5, возмущался, нецензурно выражался в коридоре, привлекая к </w:t>
      </w:r>
      <w:r w:rsidRPr="00742C39">
        <w:rPr>
          <w:rFonts w:ascii="Times New Roman" w:eastAsia="Times New Roman" w:hAnsi="Times New Roman" w:cs="Times New Roman"/>
          <w:sz w:val="28"/>
        </w:rPr>
        <w:t xml:space="preserve">себе внимание окружающих.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Голубович А.А.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 возмущаться, привлекая к себе внимания, вести себя агрессивно, своим поведением мешал работе канцелярии суда, тем самым Голубович А.А.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ащении действий, нарушающих в суде установленные правила,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Голубовича А.А.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, от 29.02.2024 (л.д. 4)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копией правил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7-10)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Голубович А.А.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48BD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Голубовича А.А.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 в минимально п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Голубовича Александра Александровича</w:t>
      </w:r>
      <w:r w:rsidRPr="00DC432B"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5F4EDD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административного штрафа в р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AA764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</w:t>
      </w:r>
      <w:r w:rsidRPr="00DC432B">
        <w:rPr>
          <w:rFonts w:ascii="Times New Roman" w:eastAsia="Times New Roman" w:hAnsi="Times New Roman" w:cs="Times New Roman"/>
          <w:sz w:val="28"/>
        </w:rPr>
        <w:t>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A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A25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5B9C"/>
    <w:rsid w:val="000C44D0"/>
    <w:rsid w:val="000F41EC"/>
    <w:rsid w:val="000F5D67"/>
    <w:rsid w:val="00144688"/>
    <w:rsid w:val="00145C67"/>
    <w:rsid w:val="00167A58"/>
    <w:rsid w:val="001C60A7"/>
    <w:rsid w:val="001C73F9"/>
    <w:rsid w:val="001E33B4"/>
    <w:rsid w:val="00224ED3"/>
    <w:rsid w:val="00226905"/>
    <w:rsid w:val="00232147"/>
    <w:rsid w:val="00252BCA"/>
    <w:rsid w:val="00281C1A"/>
    <w:rsid w:val="002A2E34"/>
    <w:rsid w:val="002B49C1"/>
    <w:rsid w:val="00305CD9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3F503E"/>
    <w:rsid w:val="00404368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F2A9F"/>
    <w:rsid w:val="008045D4"/>
    <w:rsid w:val="00812013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573CF"/>
    <w:rsid w:val="00AA7649"/>
    <w:rsid w:val="00AF7955"/>
    <w:rsid w:val="00B04CAF"/>
    <w:rsid w:val="00B34023"/>
    <w:rsid w:val="00B55383"/>
    <w:rsid w:val="00B75F03"/>
    <w:rsid w:val="00B96208"/>
    <w:rsid w:val="00BB1DD9"/>
    <w:rsid w:val="00C55A8A"/>
    <w:rsid w:val="00C71190"/>
    <w:rsid w:val="00C91D15"/>
    <w:rsid w:val="00C9552B"/>
    <w:rsid w:val="00CB568A"/>
    <w:rsid w:val="00CE1883"/>
    <w:rsid w:val="00D23C98"/>
    <w:rsid w:val="00D23FE6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0AEF-0785-4C6D-B2D4-DCE833CC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