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7CF" w:rsidP="004567CF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CF" w:rsidRPr="00077FF4" w:rsidP="004567CF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198</w:t>
      </w: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567CF" w:rsidRPr="00077FF4" w:rsidP="004567CF">
      <w:pPr>
        <w:spacing w:after="0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CF" w:rsidRPr="00077FF4" w:rsidP="004567C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67CF" w:rsidRPr="00077FF4" w:rsidP="004567C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CF" w:rsidRPr="00077FF4" w:rsidP="004567CF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2022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4567CF" w:rsidRPr="00077FF4" w:rsidP="004567CF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7CF" w:rsidRPr="00526D8F" w:rsidP="004567CF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7FF4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77FF4">
        <w:rPr>
          <w:rFonts w:ascii="Times New Roman" w:hAnsi="Times New Roman" w:cs="Times New Roman"/>
          <w:sz w:val="28"/>
          <w:szCs w:val="28"/>
        </w:rPr>
        <w:t>Чепиль</w:t>
      </w:r>
      <w:r w:rsidRPr="00077FF4">
        <w:rPr>
          <w:rFonts w:ascii="Times New Roman" w:hAnsi="Times New Roman" w:cs="Times New Roman"/>
          <w:sz w:val="28"/>
          <w:szCs w:val="28"/>
        </w:rPr>
        <w:t xml:space="preserve"> О.А.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4567CF" w:rsidP="004567CF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77FF4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077FF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77FF4">
        <w:rPr>
          <w:rFonts w:ascii="Times New Roman" w:hAnsi="Times New Roman" w:cs="Times New Roman"/>
          <w:bCs/>
          <w:sz w:val="28"/>
          <w:szCs w:val="28"/>
        </w:rPr>
        <w:t>г. Симферополь</w:t>
      </w:r>
      <w:r w:rsidRPr="00077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Крымских Партизан, 3а, </w:t>
      </w:r>
      <w:r w:rsidRPr="00077FF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лица:</w:t>
      </w:r>
    </w:p>
    <w:p w:rsidR="004567CF" w:rsidP="004567CF">
      <w:pPr>
        <w:spacing w:after="0"/>
        <w:ind w:left="2835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567CF" w:rsidRPr="00A001B4" w:rsidP="004567CF">
      <w:pPr>
        <w:spacing w:after="0"/>
        <w:ind w:left="2835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7644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64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«Кадастровый центр недвижимости», ИНН 9102167943,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дата регистрации /изъято/г., юридический адрес</w:t>
      </w:r>
      <w:r w:rsidRPr="00077F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4567CF" w:rsidRPr="00077FF4" w:rsidP="004567CF">
      <w:pPr>
        <w:spacing w:after="0"/>
        <w:ind w:left="2835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CF" w:rsidP="004567C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19.7 Кодекса Российской Федерации об административных правонарушениях,</w:t>
      </w:r>
    </w:p>
    <w:p w:rsidR="004567CF" w:rsidP="004567C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CF" w:rsidP="004567CF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567CF" w:rsidP="00456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7644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764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«Кадастровый центр недвижимости» (далее – ООО «Кадастровый центр недвижимости»)</w:t>
      </w:r>
      <w:r w:rsidRPr="00E05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</w:t>
      </w:r>
      <w:r w:rsidRPr="00E0535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представило в ИФНС России по Симферополю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срок оформленные в установленном порядке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енты и (или) иные сведения, необходимые для осуществления налогового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-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годовую бухгалтерскую (финансовую) отчётность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(форма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DF13D6">
        <w:rPr>
          <w:rFonts w:ascii="Times New Roman" w:eastAsia="Times New Roman" w:hAnsi="Times New Roman" w:cs="Times New Roman"/>
          <w:sz w:val="28"/>
          <w:szCs w:val="28"/>
        </w:rPr>
        <w:t xml:space="preserve">чем совершило административное </w:t>
      </w:r>
      <w:r w:rsidRPr="00795F07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 19.7 Кодекса Российской Федерации об административных правонарушениях.</w:t>
      </w:r>
    </w:p>
    <w:p w:rsidR="004567CF" w:rsidP="004567CF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законный представитель либо защитник ООО «Кадастровый центр недвижимости» не явились, о дате, месте и времени слушания дела юридическое лицо извещено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567CF" w:rsidRPr="00F42339" w:rsidP="004567CF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от законного представителя либо защитника ООО «Кадастровый центр недвижимости» не поступило ходатайства об отложении рассмотрения дела, суд на основании ч. 2 ст. 25.1 КоАП РФ считает возможным рассмотреть дело в  отсутствие законного представителя и защитника</w:t>
      </w:r>
      <w:r w:rsidRPr="00F42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«Кадастровый центр недвижимости».</w:t>
      </w:r>
    </w:p>
    <w:p w:rsidR="004567CF" w:rsidRPr="00F1171C" w:rsidP="004567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39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</w:t>
      </w:r>
      <w:r w:rsidRPr="00DF13D6">
        <w:rPr>
          <w:rFonts w:ascii="Times New Roman" w:hAnsi="Times New Roman" w:cs="Times New Roman"/>
          <w:sz w:val="28"/>
          <w:szCs w:val="28"/>
        </w:rPr>
        <w:t xml:space="preserve"> доказательства в их </w:t>
      </w:r>
      <w:r w:rsidRPr="00F1171C">
        <w:rPr>
          <w:rFonts w:ascii="Times New Roman" w:hAnsi="Times New Roman" w:cs="Times New Roman"/>
          <w:sz w:val="28"/>
          <w:szCs w:val="28"/>
        </w:rPr>
        <w:t>совокупности, суд приходит к следующим выводам.</w:t>
      </w:r>
    </w:p>
    <w:p w:rsidR="004567CF" w:rsidP="00456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1C">
        <w:rPr>
          <w:rFonts w:ascii="Times New Roman" w:eastAsia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67CF" w:rsidRPr="00F90F2C" w:rsidP="004567CF">
      <w:pPr>
        <w:autoSpaceDE w:val="0"/>
        <w:autoSpaceDN w:val="0"/>
        <w:adjustRightInd w:val="0"/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" w:history="1">
        <w:r w:rsidRPr="00F117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19.7</w:t>
        </w:r>
      </w:hyperlink>
      <w:r w:rsidRPr="00F11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</w:t>
      </w:r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6.16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частями 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статьи 8.28.1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8.32.1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5 статьи 14.5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14.28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14.46.2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19.7.1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hyperlink r:id="rId15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19.7.2-1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9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0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1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19.7.7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2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3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19.7.9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4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5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19.8.3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Кодекса.</w:t>
      </w:r>
    </w:p>
    <w:p w:rsidR="004567CF" w:rsidRPr="00F90F2C" w:rsidP="004567CF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Объективную сторону данного административного правонарушения </w:t>
      </w:r>
      <w:r w:rsidRPr="00EF64C2">
        <w:rPr>
          <w:rFonts w:ascii="Times New Roman" w:hAnsi="Times New Roman" w:eastAsiaTheme="minorHAnsi" w:cs="Times New Roman"/>
          <w:sz w:val="28"/>
          <w:szCs w:val="28"/>
          <w:lang w:eastAsia="en-US"/>
        </w:rPr>
        <w:t>образует непредставление в государственный орган (должностному лицу) в установленный законом срок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4567CF" w:rsidP="00456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правонарушение несет соответствующее юридическое либо должностное лицо.</w:t>
      </w:r>
    </w:p>
    <w:p w:rsidR="004567CF" w:rsidRPr="001A7189" w:rsidP="004567C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1C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DE6026">
        <w:rPr>
          <w:rFonts w:ascii="Times New Roman" w:eastAsia="Times New Roman" w:hAnsi="Times New Roman" w:cs="Times New Roman"/>
          <w:sz w:val="28"/>
          <w:szCs w:val="28"/>
        </w:rPr>
        <w:t>усматривается из материалов дела,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«Кадастровый центр недвижимости»</w:t>
      </w:r>
      <w:r w:rsidRPr="001A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5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расположенное </w:t>
      </w:r>
      <w:r w:rsidRPr="00E0535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18 Федерального закона от 6 декабря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«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>О бухгалтерском учёте»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 закон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402-ФЗ)</w:t>
      </w:r>
      <w:r w:rsidRPr="001A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представило в ИФНС России по Симферополю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годовую бухгалтерскую (финансовую) отчётность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(форма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1A71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средствами телекоммуникационной связи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(рег.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1A71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предельном сроке представления</w:t>
      </w:r>
      <w:r w:rsidRPr="00F80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) отчётност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г.,</w:t>
      </w:r>
      <w:r w:rsidRPr="001A71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т.е. документ был представлен после предельного срока предоставления 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) отчётност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67CF" w:rsidRPr="0061679E" w:rsidP="00456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9E">
        <w:rPr>
          <w:rFonts w:ascii="Times New Roman" w:hAnsi="Times New Roman" w:cs="Times New Roman"/>
          <w:sz w:val="28"/>
          <w:szCs w:val="28"/>
        </w:rPr>
        <w:t xml:space="preserve">Согласно части 3 статьи 18 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402-ФЗ</w:t>
      </w:r>
      <w:r w:rsidRPr="0061679E">
        <w:rPr>
          <w:rFonts w:ascii="Times New Roman" w:hAnsi="Times New Roman" w:cs="Times New Roman"/>
          <w:sz w:val="28"/>
          <w:szCs w:val="28"/>
        </w:rPr>
        <w:t>, в целях формирования государственного информационного 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>ухгалтерской отчётности экономический субъект обязан представлять один экземпляр составленной годовой бухгалтерской (финансовой) отчётности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4567CF" w:rsidP="004567C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9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18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402-ФЗ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отчётности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отчётности.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31 декабря года, следующего за отчётным годом. В случае исправления экономическим субъектом ошибки в бухгалтерской (финансовой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 xml:space="preserve"> отчётности, обязательный экземпляр которой представлен в соответствии с частью 3 статьи 18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F8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402-ФЗ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 xml:space="preserve">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ьными законами и (или) учредительными 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 xml:space="preserve">документами экономического субъекта предусмотрено утверждение бухгалтерской (финансовой) отчётности экономического субъекта. </w:t>
      </w:r>
    </w:p>
    <w:p w:rsidR="004567CF" w:rsidRPr="0061679E" w:rsidP="00456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указанной нормы 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679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годовой </w:t>
      </w:r>
      <w:r w:rsidRPr="0000390F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отчётности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0390F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0390F">
        <w:rPr>
          <w:rFonts w:ascii="Times New Roman" w:eastAsia="Times New Roman" w:hAnsi="Times New Roman" w:cs="Times New Roman"/>
          <w:sz w:val="28"/>
          <w:szCs w:val="28"/>
        </w:rPr>
        <w:t>года включительно.</w:t>
      </w:r>
    </w:p>
    <w:p w:rsidR="004567CF" w:rsidRPr="002F3A22" w:rsidP="004567CF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19">
        <w:rPr>
          <w:rFonts w:ascii="Times New Roman" w:eastAsia="Times New Roman" w:hAnsi="Times New Roman" w:cs="Times New Roman"/>
          <w:sz w:val="28"/>
          <w:szCs w:val="28"/>
        </w:rPr>
        <w:t>Оценив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F19">
        <w:rPr>
          <w:rFonts w:ascii="Times New Roman" w:eastAsia="Times New Roman" w:hAnsi="Times New Roman" w:cs="Times New Roman"/>
          <w:sz w:val="28"/>
          <w:szCs w:val="28"/>
        </w:rPr>
        <w:t>имеющиеся в деле об административном правонарушении в соответствии со ст. 26</w:t>
      </w:r>
      <w:r w:rsidRPr="002F3A22">
        <w:rPr>
          <w:rFonts w:ascii="Times New Roman" w:eastAsia="Times New Roman" w:hAnsi="Times New Roman" w:cs="Times New Roman"/>
          <w:sz w:val="28"/>
          <w:szCs w:val="28"/>
        </w:rPr>
        <w:t xml:space="preserve">.11 КоАП РФ, мировой судья приходит к выводу, что юридическое лицо - </w:t>
      </w:r>
      <w:r w:rsidRPr="002F3A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«Кадастровый центр недвижимости» </w:t>
      </w:r>
      <w:r w:rsidRPr="002F3A22"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ст.19.7 КоАП РФ, а именно</w:t>
      </w:r>
      <w:r w:rsidRPr="003E1F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B3FD7"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в государственный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FD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государственный контроль (надзор) сведений (информации), представление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3FD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законом и необходимо для осуществления этим органом (должностным лицом) его законной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7CF" w:rsidP="004567CF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3A22">
        <w:rPr>
          <w:rFonts w:ascii="Times New Roman" w:hAnsi="Times New Roman" w:cs="Times New Roman"/>
          <w:sz w:val="28"/>
          <w:szCs w:val="28"/>
        </w:rPr>
        <w:t xml:space="preserve">Виновность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«Кадастровый центр недвижимости» </w:t>
      </w:r>
      <w:r w:rsidRPr="002F3A22">
        <w:rPr>
          <w:rFonts w:ascii="Times New Roman" w:hAnsi="Times New Roman" w:cs="Times New Roman"/>
          <w:sz w:val="28"/>
          <w:szCs w:val="28"/>
        </w:rPr>
        <w:t>подтверждается</w:t>
      </w:r>
      <w:r w:rsidRPr="002F3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2F3A2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</w:t>
      </w:r>
      <w:r w:rsidRPr="005033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года, квитанцией о приеме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квитанцией  о приеме налоговой декларации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копией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упрощенной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>) отчётност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6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33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иными материалами дела</w:t>
      </w:r>
      <w:r w:rsidRPr="002F3A2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567CF" w:rsidRPr="00DF4CC4" w:rsidP="0045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CC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hAnsi="Times New Roman" w:cs="Times New Roman"/>
          <w:sz w:val="28"/>
          <w:szCs w:val="28"/>
        </w:rPr>
        <w:t>ООО «Кадастровый центр недвижимости»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4CC4">
        <w:rPr>
          <w:rFonts w:ascii="Times New Roman" w:eastAsia="Times New Roman" w:hAnsi="Times New Roman"/>
          <w:color w:val="000000"/>
          <w:sz w:val="28"/>
          <w:szCs w:val="28"/>
        </w:rPr>
        <w:t>в совершении инкриминируемого административного правонарушения.</w:t>
      </w:r>
    </w:p>
    <w:p w:rsidR="004567CF" w:rsidRPr="00A66536" w:rsidP="004567C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536">
        <w:rPr>
          <w:rFonts w:ascii="Times New Roman" w:hAnsi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ООО «Кадастровый центр недвижимости» </w:t>
      </w:r>
      <w:r w:rsidRPr="00A66536">
        <w:rPr>
          <w:rFonts w:ascii="Times New Roman" w:hAnsi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567CF" w:rsidRPr="00795F07" w:rsidP="004567CF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95F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Установленный </w:t>
      </w:r>
      <w:hyperlink r:id="rId28" w:history="1">
        <w:r w:rsidRPr="00795F0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4.5</w:t>
        </w:r>
      </w:hyperlink>
      <w:r w:rsidRPr="00795F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срок давности привлечения к административной ответственности по </w:t>
      </w:r>
      <w:hyperlink r:id="rId29" w:history="1">
        <w:r w:rsidRPr="00795F0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ст. 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</w:t>
        </w:r>
      </w:hyperlink>
      <w:r w:rsidRPr="00795F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не истек.</w:t>
      </w:r>
    </w:p>
    <w:p w:rsidR="004567CF" w:rsidRPr="00977DF8" w:rsidP="004567CF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4567CF" w:rsidRPr="00795F07" w:rsidP="004567CF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4567CF" w:rsidP="004567CF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имущественное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финансовое положение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не имеется данных о привлечении к административной ответственности за аналогичное правонарушение ранее, отсутствие обстоятельств смягчающих и отягчающих 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юридическому лицу </w:t>
      </w:r>
      <w:r>
        <w:rPr>
          <w:rFonts w:ascii="Times New Roman" w:hAnsi="Times New Roman" w:cs="Times New Roman"/>
          <w:sz w:val="28"/>
          <w:szCs w:val="28"/>
        </w:rPr>
        <w:t xml:space="preserve">ООО «Кадастровый центр недвижимости»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санкцией статьи в виде предупреждения. </w:t>
      </w:r>
    </w:p>
    <w:p w:rsidR="004567CF" w:rsidP="004567CF">
      <w:pPr>
        <w:spacing w:after="0" w:line="200" w:lineRule="atLeast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изложенного, руководствуясь ст.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19.7</w:t>
      </w: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>ст.ст</w:t>
      </w:r>
      <w:r w:rsidRPr="00795F07">
        <w:rPr>
          <w:rFonts w:ascii="Times New Roman" w:eastAsia="Calibri" w:hAnsi="Times New Roman" w:cs="Times New Roman"/>
          <w:sz w:val="28"/>
          <w:szCs w:val="28"/>
          <w:lang w:eastAsia="en-US"/>
        </w:rPr>
        <w:t>. 2.9, 29.9, 29.10, 29.11  Кодекса Российской Федерации об административных правонарушениях, мировой судья,-</w:t>
      </w:r>
    </w:p>
    <w:p w:rsidR="004567CF" w:rsidRPr="00795F07" w:rsidP="004567CF">
      <w:pPr>
        <w:spacing w:after="0" w:line="200" w:lineRule="atLeast"/>
        <w:ind w:left="-284" w:right="19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5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4567CF" w:rsidP="004567CF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</w:t>
      </w:r>
      <w:r w:rsidRPr="007F7644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64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«Кадастровый центр недвижимости»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567CF" w:rsidP="004567CF">
      <w:pPr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67CF" w:rsidRPr="00795F07" w:rsidP="004567CF">
      <w:pPr>
        <w:spacing w:after="0" w:line="200" w:lineRule="atLeast"/>
        <w:ind w:right="1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5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</w:p>
    <w:p w:rsidR="004567CF" w:rsidRPr="00795F07" w:rsidP="004567CF">
      <w:pPr>
        <w:spacing w:after="0" w:line="200" w:lineRule="atLeast"/>
        <w:ind w:right="1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67CF" w:rsidP="004567C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567CF" w:rsidP="004567CF">
      <w:pPr>
        <w:spacing w:after="0" w:line="240" w:lineRule="auto"/>
        <w:ind w:right="19" w:firstLine="567"/>
        <w:rPr>
          <w:rFonts w:ascii="Times New Roman" w:hAnsi="Times New Roman" w:cs="Times New Roman"/>
          <w:sz w:val="16"/>
          <w:szCs w:val="16"/>
        </w:rPr>
      </w:pPr>
    </w:p>
    <w:p w:rsidR="004567CF" w:rsidP="004567CF">
      <w:pPr>
        <w:spacing w:after="0" w:line="240" w:lineRule="auto"/>
        <w:ind w:right="19" w:firstLine="567"/>
        <w:rPr>
          <w:rFonts w:ascii="Times New Roman" w:hAnsi="Times New Roman" w:cs="Times New Roman"/>
          <w:sz w:val="16"/>
          <w:szCs w:val="16"/>
        </w:rPr>
      </w:pPr>
    </w:p>
    <w:p w:rsidR="004567CF" w:rsidRPr="003B12D3" w:rsidP="004567C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567CF" w:rsidRPr="00963E4F" w:rsidP="004567C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567CF" w:rsidP="004567CF"/>
    <w:p w:rsidR="00C05BFE"/>
    <w:sectPr w:rsidSect="007F7644">
      <w:headerReference w:type="default" r:id="rId3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21097040"/>
      <w:docPartObj>
        <w:docPartGallery w:val="Page Numbers (Top of Page)"/>
        <w:docPartUnique/>
      </w:docPartObj>
    </w:sdtPr>
    <w:sdtContent>
      <w:p w:rsidR="00D2273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2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A"/>
    <w:rsid w:val="0000390F"/>
    <w:rsid w:val="00077FF4"/>
    <w:rsid w:val="000B3FD7"/>
    <w:rsid w:val="001A7189"/>
    <w:rsid w:val="002F3A22"/>
    <w:rsid w:val="003B12D3"/>
    <w:rsid w:val="003E1F19"/>
    <w:rsid w:val="004567CF"/>
    <w:rsid w:val="00503331"/>
    <w:rsid w:val="00526D8F"/>
    <w:rsid w:val="0061679E"/>
    <w:rsid w:val="00795F07"/>
    <w:rsid w:val="007D3E8A"/>
    <w:rsid w:val="007F7644"/>
    <w:rsid w:val="00963E4F"/>
    <w:rsid w:val="00977DF8"/>
    <w:rsid w:val="00A001B4"/>
    <w:rsid w:val="00A66536"/>
    <w:rsid w:val="00C05BFE"/>
    <w:rsid w:val="00D22735"/>
    <w:rsid w:val="00DE6026"/>
    <w:rsid w:val="00DF13D6"/>
    <w:rsid w:val="00DF4CC4"/>
    <w:rsid w:val="00E05359"/>
    <w:rsid w:val="00E61B31"/>
    <w:rsid w:val="00EF64C2"/>
    <w:rsid w:val="00F1171C"/>
    <w:rsid w:val="00F42339"/>
    <w:rsid w:val="00F80AEA"/>
    <w:rsid w:val="00F9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5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67C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E6D01A68C1F9AEDEBBD9492D0D9EFCC1242F1B6D2F18819FCF40D6850CB44E06124952431AV2VEO" TargetMode="External" /><Relationship Id="rId11" Type="http://schemas.openxmlformats.org/officeDocument/2006/relationships/hyperlink" Target="consultantplus://offline/ref=B2E6D01A68C1F9AEDEBBD9492D0D9EFCC1242F1B6D2F18819FCF40D6850CB44E061249524717V2VBO" TargetMode="External" /><Relationship Id="rId12" Type="http://schemas.openxmlformats.org/officeDocument/2006/relationships/hyperlink" Target="consultantplus://offline/ref=B2E6D01A68C1F9AEDEBBD9492D0D9EFCC1242F1B6D2F18819FCF40D6850CB44E061249574519V2V7O" TargetMode="External" /><Relationship Id="rId13" Type="http://schemas.openxmlformats.org/officeDocument/2006/relationships/hyperlink" Target="consultantplus://offline/ref=B2E6D01A68C1F9AEDEBBD9492D0D9EFCC1242F1B6D2F18819FCF40D6850CB44E061249524D19V2V6O" TargetMode="External" /><Relationship Id="rId14" Type="http://schemas.openxmlformats.org/officeDocument/2006/relationships/hyperlink" Target="consultantplus://offline/ref=B2E6D01A68C1F9AEDEBBD9492D0D9EFCC1242F1B6D2F18819FCF40D6850CB44E061249524DV1V6O" TargetMode="External" /><Relationship Id="rId15" Type="http://schemas.openxmlformats.org/officeDocument/2006/relationships/hyperlink" Target="consultantplus://offline/ref=B2E6D01A68C1F9AEDEBBD9492D0D9EFCC1242F1B6D2F18819FCF40D6850CB44E06124954451BV2VCO" TargetMode="External" /><Relationship Id="rId16" Type="http://schemas.openxmlformats.org/officeDocument/2006/relationships/hyperlink" Target="consultantplus://offline/ref=B2E6D01A68C1F9AEDEBBD9492D0D9EFCC1242F1B6D2F18819FCF40D6850CB44E061249504719V2VBO" TargetMode="External" /><Relationship Id="rId17" Type="http://schemas.openxmlformats.org/officeDocument/2006/relationships/hyperlink" Target="consultantplus://offline/ref=B2E6D01A68C1F9AEDEBBD9492D0D9EFCC1242F1B6D2F18819FCF40D6850CB44E061249544717V2VCO" TargetMode="External" /><Relationship Id="rId18" Type="http://schemas.openxmlformats.org/officeDocument/2006/relationships/hyperlink" Target="consultantplus://offline/ref=B2E6D01A68C1F9AEDEBBD9492D0D9EFCC1242F1B6D2F18819FCF40D6850CB44E061249574418V2VAO" TargetMode="External" /><Relationship Id="rId19" Type="http://schemas.openxmlformats.org/officeDocument/2006/relationships/hyperlink" Target="consultantplus://offline/ref=B2E6D01A68C1F9AEDEBBD9492D0D9EFCC1242F1B6D2F18819FCF40D6850CB44E06124957471DV2VF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2E6D01A68C1F9AEDEBBD9492D0D9EFCC1242F1B6D2F18819FCF40D6850CB44E061249564D1EV2VEO" TargetMode="External" /><Relationship Id="rId21" Type="http://schemas.openxmlformats.org/officeDocument/2006/relationships/hyperlink" Target="consultantplus://offline/ref=B2E6D01A68C1F9AEDEBBD9492D0D9EFCC1242F1B6D2F18819FCF40D6850CB44E061249564D1FV2V9O" TargetMode="External" /><Relationship Id="rId22" Type="http://schemas.openxmlformats.org/officeDocument/2006/relationships/hyperlink" Target="consultantplus://offline/ref=B2E6D01A68C1F9AEDEBBD9492D0D9EFCC1242F1B6D2F18819FCF40D6850CB44E06124951421EV2VDO" TargetMode="External" /><Relationship Id="rId23" Type="http://schemas.openxmlformats.org/officeDocument/2006/relationships/hyperlink" Target="consultantplus://offline/ref=B2E6D01A68C1F9AEDEBBD9492D0D9EFCC1242F1B6D2F18819FCF40D6850CB44E061249504517V2V6O" TargetMode="External" /><Relationship Id="rId24" Type="http://schemas.openxmlformats.org/officeDocument/2006/relationships/hyperlink" Target="consultantplus://offline/ref=B2E6D01A68C1F9AEDEBBD9492D0D9EFCC1242F1B6D2F18819FCF40D6850CB44E06124953421AV2V8O" TargetMode="External" /><Relationship Id="rId25" Type="http://schemas.openxmlformats.org/officeDocument/2006/relationships/hyperlink" Target="consultantplus://offline/ref=B2E6D01A68C1F9AEDEBBD9492D0D9EFCC1242F1B6D2F18819FCF40D6850CB44E06124952431CV2VDO" TargetMode="External" /><Relationship Id="rId26" Type="http://schemas.openxmlformats.org/officeDocument/2006/relationships/hyperlink" Target="consultantplus://offline/ref=B2E6D01A68C1F9AEDEBBD9492D0D9EFCC1242F1B6D2F18819FCF40D6850CB44E06124954451F290FVBV5O" TargetMode="External" /><Relationship Id="rId27" Type="http://schemas.openxmlformats.org/officeDocument/2006/relationships/hyperlink" Target="consultantplus://offline/ref=B2E6D01A68C1F9AEDEBBD9492D0D9EFCC1242F1B6D2F18819FCF40D6850CB44E06124950411CV2V8O" TargetMode="External" /><Relationship Id="rId28" Type="http://schemas.openxmlformats.org/officeDocument/2006/relationships/hyperlink" Target="consultantplus://offline/ref=BABE9442D219ECB1E760E709DF6E917D2C68B675A25CE401FD807159031744984109EE016D5BE3F0pBfAO" TargetMode="External" /><Relationship Id="rId29" Type="http://schemas.openxmlformats.org/officeDocument/2006/relationships/hyperlink" Target="consultantplus://offline/ref=BABE9442D219ECB1E760E709DF6E917D2C68B675A25CE401FD807159031744984109EE056F5DpEf5O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13A3299F28918A2BE84B0CD7979040C559E487027EF9E9722EFD28FE0EE458EC85D3B658D8950CC4u4UCO" TargetMode="External" /><Relationship Id="rId5" Type="http://schemas.openxmlformats.org/officeDocument/2006/relationships/hyperlink" Target="consultantplus://offline/ref=B2E6D01A68C1F9AEDEBBD9492D0D9EFCC1242F1B6D2F18819FCF40D6850CB44E06124956421BV2VFO" TargetMode="External" /><Relationship Id="rId6" Type="http://schemas.openxmlformats.org/officeDocument/2006/relationships/hyperlink" Target="consultantplus://offline/ref=B2E6D01A68C1F9AEDEBBD9492D0D9EFCC1242F1B6D2F18819FCF40D6850CB44E06124950471DV2VAO" TargetMode="External" /><Relationship Id="rId7" Type="http://schemas.openxmlformats.org/officeDocument/2006/relationships/hyperlink" Target="consultantplus://offline/ref=B2E6D01A68C1F9AEDEBBD9492D0D9EFCC1242F1B6D2F18819FCF40D6850CB44E061249504319V2V8O" TargetMode="External" /><Relationship Id="rId8" Type="http://schemas.openxmlformats.org/officeDocument/2006/relationships/hyperlink" Target="consultantplus://offline/ref=B2E6D01A68C1F9AEDEBBD9492D0D9EFCC1242F1B6D2F18819FCF40D6850CB44E061249504319V2V6O" TargetMode="External" /><Relationship Id="rId9" Type="http://schemas.openxmlformats.org/officeDocument/2006/relationships/hyperlink" Target="consultantplus://offline/ref=B2E6D01A68C1F9AEDEBBD9492D0D9EFCC1242F1B6D2F18819FCF40D6850CB44E061249504316V2V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