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D30" w:rsidRPr="00BB7E39" w:rsidP="00BB7E3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b/>
          <w:sz w:val="28"/>
          <w:szCs w:val="28"/>
        </w:rPr>
        <w:t>Дело №05-</w:t>
      </w:r>
      <w:r w:rsidRPr="00BB7E3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BB7E39" w:rsidR="00B87593">
        <w:rPr>
          <w:rFonts w:ascii="Times New Roman" w:eastAsia="Times New Roman" w:hAnsi="Times New Roman" w:cs="Times New Roman"/>
          <w:b/>
          <w:sz w:val="28"/>
          <w:szCs w:val="28"/>
        </w:rPr>
        <w:t>540</w:t>
      </w:r>
      <w:r w:rsidRPr="00BB7E3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B7E39" w:rsidR="00B8759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11D30" w:rsidRPr="00BB7E39" w:rsidP="00BB7E3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BB7E39" w:rsidP="00BB7E3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11D30" w:rsidRPr="00BB7E39" w:rsidP="00BB7E3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16 октября 2019 года  </w:t>
      </w:r>
      <w:r w:rsidRPr="00BB7E39" w:rsidR="00F4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ab/>
      </w:r>
      <w:r w:rsidRPr="00BB7E39">
        <w:rPr>
          <w:rFonts w:ascii="Times New Roman" w:eastAsia="Times New Roman" w:hAnsi="Times New Roman" w:cs="Times New Roman"/>
          <w:sz w:val="28"/>
          <w:szCs w:val="28"/>
        </w:rPr>
        <w:tab/>
      </w:r>
      <w:r w:rsidRPr="00BB7E39">
        <w:rPr>
          <w:rFonts w:ascii="Times New Roman" w:eastAsia="Times New Roman" w:hAnsi="Times New Roman" w:cs="Times New Roman"/>
          <w:sz w:val="28"/>
          <w:szCs w:val="28"/>
        </w:rPr>
        <w:tab/>
      </w:r>
      <w:r w:rsidRPr="00BB7E39">
        <w:rPr>
          <w:rFonts w:ascii="Times New Roman" w:eastAsia="Times New Roman" w:hAnsi="Times New Roman" w:cs="Times New Roman"/>
          <w:sz w:val="28"/>
          <w:szCs w:val="28"/>
        </w:rPr>
        <w:tab/>
      </w:r>
      <w:r w:rsidRPr="00BB7E39">
        <w:rPr>
          <w:rFonts w:ascii="Times New Roman" w:eastAsia="Times New Roman" w:hAnsi="Times New Roman" w:cs="Times New Roman"/>
          <w:sz w:val="28"/>
          <w:szCs w:val="28"/>
        </w:rPr>
        <w:tab/>
      </w:r>
      <w:r w:rsidRPr="00BB7E39" w:rsidR="00F410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511D30" w:rsidRPr="00BB7E39" w:rsidP="00BB7E3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BB7E39" w:rsidP="00BB7E3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BB7E39" w:rsidR="00B87593">
        <w:rPr>
          <w:rFonts w:ascii="Times New Roman" w:hAnsi="Times New Roman" w:cs="Times New Roman"/>
          <w:sz w:val="28"/>
          <w:szCs w:val="28"/>
        </w:rPr>
        <w:t xml:space="preserve">ый </w:t>
      </w:r>
      <w:r w:rsidRPr="00BB7E39">
        <w:rPr>
          <w:rFonts w:ascii="Times New Roman" w:hAnsi="Times New Roman" w:cs="Times New Roman"/>
          <w:sz w:val="28"/>
          <w:szCs w:val="28"/>
        </w:rPr>
        <w:t>район</w:t>
      </w:r>
      <w:r w:rsidRPr="00BB7E39" w:rsidR="00B87593">
        <w:rPr>
          <w:rFonts w:ascii="Times New Roman" w:hAnsi="Times New Roman" w:cs="Times New Roman"/>
          <w:sz w:val="28"/>
          <w:szCs w:val="28"/>
        </w:rPr>
        <w:t xml:space="preserve"> </w:t>
      </w:r>
      <w:r w:rsidRPr="00BB7E39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7E39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B7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B7E3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B7E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B7E3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BB7E39" w:rsidP="00BB7E3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BB7E39" w:rsidP="00BB7E39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>г</w:t>
      </w:r>
      <w:r w:rsidRPr="00BB7E39">
        <w:rPr>
          <w:rFonts w:ascii="Times New Roman" w:hAnsi="Times New Roman" w:cs="Times New Roman"/>
          <w:sz w:val="28"/>
          <w:szCs w:val="28"/>
        </w:rPr>
        <w:t>енерального директора</w:t>
      </w:r>
      <w:r w:rsidRPr="00BB7E39" w:rsidR="00B87593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«Корпорация АТТА Групп» Кряквиной  Натальи Валерьевны</w:t>
      </w:r>
      <w:r w:rsidRPr="00BB7E39">
        <w:rPr>
          <w:rFonts w:ascii="Times New Roman" w:hAnsi="Times New Roman" w:cs="Times New Roman"/>
          <w:sz w:val="28"/>
          <w:szCs w:val="28"/>
        </w:rPr>
        <w:t xml:space="preserve">,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BB7E39" w:rsidP="00BB7E3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BB7E39" w:rsidR="00B87593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BB7E39" w:rsidR="00B87593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E39" w:rsidR="00B8759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511D30" w:rsidRPr="00BB7E39" w:rsidP="00BB7E3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BB7E39" w:rsidP="00BB7E3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27C53" w:rsidRPr="00202FB6" w:rsidP="00BB7E3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проведенной на </w:t>
      </w:r>
      <w:r w:rsidRPr="00BB7E39" w:rsidR="001A5D43"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основании приказа Управления Минкультуры России по ЮФО и СКФО №25 от 05.02.2019 г. проверки юридического лица ООО «Корпорация АТТА Групп»</w:t>
      </w:r>
      <w:r w:rsidRPr="00BB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B7E39" w:rsidR="00CC057E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выявлено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должностное лицо - генеральный директор ООО «Корпорация АТТА Групп» Кряквина Н.В. допустила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 при проведении противоаварийных, реставрационных работ на 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объекте</w:t>
      </w:r>
      <w:r w:rsidRPr="00BB7E39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культурного наследия – «Здание бывшей кенассы, 1896 г. (1934</w:t>
      </w:r>
      <w:r w:rsidRPr="00202FB6" w:rsidR="00B875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-1936 гг. – перестройка)», расположенном по адресу: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02FB6">
        <w:rPr>
          <w:rFonts w:ascii="Times New Roman" w:hAnsi="Times New Roman" w:eastAsiaTheme="minorHAnsi" w:cs="Times New Roman"/>
          <w:sz w:val="28"/>
          <w:szCs w:val="28"/>
          <w:lang w:eastAsia="en-US"/>
        </w:rPr>
        <w:t>, тем самым совершила административное правонарушение, предусмотренное ч. 2 ст. 14.1 Кодекса Российской Федерации об административных правонарушениях.</w:t>
      </w:r>
    </w:p>
    <w:p w:rsidR="00202FB6" w:rsidRPr="00202FB6" w:rsidP="00202FB6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202FB6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 w:rsidRPr="00202FB6" w:rsidR="00327C53">
        <w:rPr>
          <w:rFonts w:eastAsiaTheme="minorHAnsi"/>
          <w:sz w:val="28"/>
          <w:szCs w:val="28"/>
          <w:lang w:eastAsia="en-US"/>
        </w:rPr>
        <w:t>Кряквина Н.В.</w:t>
      </w:r>
      <w:r w:rsidRPr="00202FB6">
        <w:rPr>
          <w:rFonts w:eastAsiaTheme="minorHAnsi"/>
          <w:sz w:val="28"/>
          <w:szCs w:val="28"/>
          <w:lang w:eastAsia="en-US"/>
        </w:rPr>
        <w:t xml:space="preserve"> не явил</w:t>
      </w:r>
      <w:r w:rsidRPr="00202FB6" w:rsidR="00327C53">
        <w:rPr>
          <w:rFonts w:eastAsiaTheme="minorHAnsi"/>
          <w:sz w:val="28"/>
          <w:szCs w:val="28"/>
          <w:lang w:eastAsia="en-US"/>
        </w:rPr>
        <w:t>а</w:t>
      </w:r>
      <w:r w:rsidRPr="00202FB6">
        <w:rPr>
          <w:rFonts w:eastAsiaTheme="minorHAnsi"/>
          <w:sz w:val="28"/>
          <w:szCs w:val="28"/>
          <w:lang w:eastAsia="en-US"/>
        </w:rPr>
        <w:t>с</w:t>
      </w:r>
      <w:r w:rsidRPr="00202FB6" w:rsidR="00327C53">
        <w:rPr>
          <w:rFonts w:eastAsiaTheme="minorHAnsi"/>
          <w:sz w:val="28"/>
          <w:szCs w:val="28"/>
          <w:lang w:eastAsia="en-US"/>
        </w:rPr>
        <w:t>ь</w:t>
      </w:r>
      <w:r w:rsidRPr="00202FB6">
        <w:rPr>
          <w:rFonts w:eastAsiaTheme="minorHAnsi"/>
          <w:sz w:val="28"/>
          <w:szCs w:val="28"/>
          <w:lang w:eastAsia="en-US"/>
        </w:rPr>
        <w:t xml:space="preserve">, </w:t>
      </w:r>
      <w:r w:rsidRPr="00202FB6">
        <w:rPr>
          <w:sz w:val="28"/>
          <w:szCs w:val="28"/>
        </w:rPr>
        <w:t>о месте и времени слушания дела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202FB6" w:rsidRPr="000E7508" w:rsidP="00202FB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FB6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202FB6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202FB6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FA336E">
        <w:rPr>
          <w:rFonts w:ascii="Times New Roman" w:hAnsi="Times New Roman" w:cs="Times New Roman"/>
          <w:sz w:val="28"/>
          <w:szCs w:val="28"/>
        </w:rPr>
        <w:t xml:space="preserve">Пленума Верховного Суда РФ от 24.03.2005 № 5 "О некоторых вопросах, </w:t>
      </w:r>
      <w:r w:rsidRPr="00FA336E">
        <w:rPr>
          <w:rFonts w:ascii="Times New Roman" w:hAnsi="Times New Roman" w:cs="Times New Roman"/>
          <w:sz w:val="28"/>
          <w:szCs w:val="28"/>
        </w:rPr>
        <w:t xml:space="preserve">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</w:t>
      </w:r>
      <w:r w:rsidRPr="000E7508">
        <w:rPr>
          <w:rFonts w:ascii="Times New Roman" w:hAnsi="Times New Roman" w:cs="Times New Roman"/>
          <w:sz w:val="28"/>
          <w:szCs w:val="28"/>
        </w:rPr>
        <w:t xml:space="preserve">рассмотрения и в случае, когда из указанного им </w:t>
      </w:r>
      <w:r w:rsidRPr="000E7508">
        <w:rPr>
          <w:rFonts w:ascii="Times New Roman" w:hAnsi="Times New Roman" w:cs="Times New Roman"/>
          <w:sz w:val="28"/>
          <w:szCs w:val="28"/>
        </w:rPr>
        <w:t xml:space="preserve"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</w:t>
      </w:r>
      <w:r w:rsidRPr="000E7508">
        <w:rPr>
          <w:rFonts w:ascii="Times New Roman" w:hAnsi="Times New Roman" w:cs="Times New Roman"/>
          <w:sz w:val="28"/>
          <w:szCs w:val="28"/>
        </w:rPr>
        <w:t>отправления, а также в случае возвращения почтового отправления с</w:t>
      </w:r>
      <w:r w:rsidRPr="000E7508">
        <w:rPr>
          <w:rFonts w:ascii="Times New Roman" w:hAnsi="Times New Roman" w:cs="Times New Roman"/>
          <w:sz w:val="28"/>
          <w:szCs w:val="28"/>
        </w:rPr>
        <w:t xml:space="preserve">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202FB6" w:rsidRPr="000E7508" w:rsidP="00202FB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508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>следует п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ризнать, что </w:t>
      </w:r>
      <w:r>
        <w:rPr>
          <w:rFonts w:ascii="Times New Roman" w:eastAsia="Times New Roman" w:hAnsi="Times New Roman" w:cs="Times New Roman"/>
          <w:sz w:val="28"/>
          <w:szCs w:val="28"/>
        </w:rPr>
        <w:t>Крявкина Н.В. считается извещенной</w:t>
      </w:r>
      <w:r w:rsidRPr="000E7508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0E7508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21558" w:rsidRPr="00BB7E39" w:rsidP="00BB7E3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</w:t>
      </w:r>
      <w:r w:rsidRPr="00BB7E39" w:rsidR="00327C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2 </w:t>
      </w:r>
      <w:r w:rsidR="0015041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BB7E39" w:rsidR="00327C5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14.1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КоАП РФ наступает за </w:t>
      </w:r>
      <w:r w:rsidRPr="00BB7E39" w:rsidR="00327C53">
        <w:rPr>
          <w:rFonts w:ascii="Times New Roman" w:hAnsi="Times New Roman" w:eastAsiaTheme="minorHAnsi" w:cs="Times New Roman"/>
          <w:sz w:val="28"/>
          <w:szCs w:val="28"/>
          <w:lang w:eastAsia="en-US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7E28CD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Согласно п. 6 ст. 45 Федерального закона от 25.06.2002 г. </w:t>
      </w:r>
      <w:r w:rsidRPr="00BB7E39" w:rsidR="00B04BC5">
        <w:rPr>
          <w:rFonts w:ascii="Times New Roman" w:hAnsi="Times New Roman" w:cs="Times New Roman"/>
          <w:sz w:val="28"/>
          <w:szCs w:val="28"/>
        </w:rPr>
        <w:t>№</w:t>
      </w:r>
      <w:r w:rsidRPr="00BB7E39">
        <w:rPr>
          <w:rFonts w:ascii="Times New Roman" w:hAnsi="Times New Roman" w:cs="Times New Roman"/>
          <w:sz w:val="28"/>
          <w:szCs w:val="28"/>
        </w:rPr>
        <w:t xml:space="preserve"> 73-ФЗ </w:t>
      </w:r>
      <w:r w:rsidRPr="00BB7E39" w:rsidR="00B04BC5">
        <w:rPr>
          <w:rFonts w:ascii="Times New Roman" w:hAnsi="Times New Roman" w:cs="Times New Roman"/>
          <w:sz w:val="28"/>
          <w:szCs w:val="28"/>
        </w:rPr>
        <w:t>«</w:t>
      </w:r>
      <w:r w:rsidRPr="00BB7E3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</w:t>
      </w:r>
      <w:r w:rsidRPr="00BB7E39">
        <w:rPr>
          <w:rFonts w:ascii="Times New Roman" w:hAnsi="Times New Roman" w:cs="Times New Roman"/>
          <w:sz w:val="28"/>
          <w:szCs w:val="28"/>
        </w:rPr>
        <w:t>ии и культуры) народов Российской Федерации</w:t>
      </w:r>
      <w:r w:rsidRPr="00BB7E39" w:rsidR="00B04BC5">
        <w:rPr>
          <w:rFonts w:ascii="Times New Roman" w:hAnsi="Times New Roman" w:cs="Times New Roman"/>
          <w:sz w:val="28"/>
          <w:szCs w:val="28"/>
        </w:rPr>
        <w:t>» (далее – Закон № 73-ФЗ)</w:t>
      </w:r>
      <w:r w:rsidRPr="00BB7E39">
        <w:rPr>
          <w:rFonts w:ascii="Times New Roman" w:hAnsi="Times New Roman" w:cs="Times New Roman"/>
          <w:sz w:val="28"/>
          <w:szCs w:val="28"/>
        </w:rPr>
        <w:t>, к проведению работ по сохранению объекта культурного наследия, включенного в реестр, или выявленного объекта культурного наследия допускаются юридические лица и индивидуальные предприним</w:t>
      </w:r>
      <w:r w:rsidRPr="00BB7E39">
        <w:rPr>
          <w:rFonts w:ascii="Times New Roman" w:hAnsi="Times New Roman" w:cs="Times New Roman"/>
          <w:sz w:val="28"/>
          <w:szCs w:val="28"/>
        </w:rPr>
        <w:t>атели, имеющие лицензию на осуществление деятельности по сохранению объектов культурного наследия (памятников истории и культуры) народов Российской Федерации в соответствии с законодательством Российской Федерации о лицензировании отдельных видов деятельн</w:t>
      </w:r>
      <w:r w:rsidRPr="00BB7E39">
        <w:rPr>
          <w:rFonts w:ascii="Times New Roman" w:hAnsi="Times New Roman" w:cs="Times New Roman"/>
          <w:sz w:val="28"/>
          <w:szCs w:val="28"/>
        </w:rPr>
        <w:t>ости.</w:t>
      </w:r>
    </w:p>
    <w:p w:rsidR="00327C53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В соответствии со ст. 40 п. 1 </w:t>
      </w:r>
      <w:r w:rsidRPr="00BB7E39" w:rsidR="00B04BC5">
        <w:rPr>
          <w:rFonts w:ascii="Times New Roman" w:hAnsi="Times New Roman" w:cs="Times New Roman"/>
          <w:sz w:val="28"/>
          <w:szCs w:val="28"/>
        </w:rPr>
        <w:t>Закона № 73-ФЗ</w:t>
      </w:r>
      <w:r w:rsidRPr="00BB7E39">
        <w:rPr>
          <w:rFonts w:ascii="Times New Roman" w:hAnsi="Times New Roman" w:cs="Times New Roman"/>
          <w:sz w:val="28"/>
          <w:szCs w:val="28"/>
        </w:rPr>
        <w:t xml:space="preserve"> под сохранением объекта культурного наследия понимаются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</w:t>
      </w:r>
      <w:r w:rsidRPr="00BB7E39">
        <w:rPr>
          <w:rFonts w:ascii="Times New Roman" w:hAnsi="Times New Roman" w:cs="Times New Roman"/>
          <w:sz w:val="28"/>
          <w:szCs w:val="28"/>
        </w:rPr>
        <w:t>нсервацию, ремонт, реставрацию, приспособление объекта культурного наследия для современного использования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</w:t>
      </w:r>
      <w:r w:rsidRPr="00BB7E39">
        <w:rPr>
          <w:rFonts w:ascii="Times New Roman" w:hAnsi="Times New Roman" w:cs="Times New Roman"/>
          <w:sz w:val="28"/>
          <w:szCs w:val="28"/>
        </w:rPr>
        <w:t>ю объекта культурного наследия, технический и авторский надзор за проведением этих работ.</w:t>
      </w:r>
    </w:p>
    <w:p w:rsidR="00327C53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Согласно п. 48 ч. 1 ст. 12 Федерального закона от 04.05.2011 г. </w:t>
      </w:r>
      <w:r w:rsidRPr="00BB7E39" w:rsidR="00B04BC5">
        <w:rPr>
          <w:rFonts w:ascii="Times New Roman" w:hAnsi="Times New Roman" w:cs="Times New Roman"/>
          <w:sz w:val="28"/>
          <w:szCs w:val="28"/>
        </w:rPr>
        <w:t>№</w:t>
      </w:r>
      <w:r w:rsidRPr="00BB7E39">
        <w:rPr>
          <w:rFonts w:ascii="Times New Roman" w:hAnsi="Times New Roman" w:cs="Times New Roman"/>
          <w:sz w:val="28"/>
          <w:szCs w:val="28"/>
        </w:rPr>
        <w:t xml:space="preserve"> 99-ФЗ </w:t>
      </w:r>
      <w:r w:rsidRPr="00BB7E39" w:rsidR="00B04BC5">
        <w:rPr>
          <w:rFonts w:ascii="Times New Roman" w:hAnsi="Times New Roman" w:cs="Times New Roman"/>
          <w:sz w:val="28"/>
          <w:szCs w:val="28"/>
        </w:rPr>
        <w:t>«</w:t>
      </w:r>
      <w:r w:rsidRPr="00BB7E3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BB7E39" w:rsidR="00B04BC5">
        <w:rPr>
          <w:rFonts w:ascii="Times New Roman" w:hAnsi="Times New Roman" w:cs="Times New Roman"/>
          <w:sz w:val="28"/>
          <w:szCs w:val="28"/>
        </w:rPr>
        <w:t>»</w:t>
      </w:r>
      <w:r w:rsidRPr="00BB7E39">
        <w:rPr>
          <w:rFonts w:ascii="Times New Roman" w:hAnsi="Times New Roman" w:cs="Times New Roman"/>
          <w:sz w:val="28"/>
          <w:szCs w:val="28"/>
        </w:rPr>
        <w:t xml:space="preserve"> лицензированию подлежит деятельность по сохран</w:t>
      </w:r>
      <w:r w:rsidRPr="00BB7E39">
        <w:rPr>
          <w:rFonts w:ascii="Times New Roman" w:hAnsi="Times New Roman" w:cs="Times New Roman"/>
          <w:sz w:val="28"/>
          <w:szCs w:val="28"/>
        </w:rPr>
        <w:t>ению объектов культурного наследия (памятников истории и культуры) народов Российской Федерации.</w:t>
      </w:r>
    </w:p>
    <w:p w:rsidR="00327C53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В соответствии с п. 2 ст. 3 Федерального закона от 04.05.2011 г. </w:t>
      </w:r>
      <w:r w:rsidRPr="00BB7E39" w:rsidR="00B04BC5">
        <w:rPr>
          <w:rFonts w:ascii="Times New Roman" w:hAnsi="Times New Roman" w:cs="Times New Roman"/>
          <w:sz w:val="28"/>
          <w:szCs w:val="28"/>
        </w:rPr>
        <w:t>№</w:t>
      </w:r>
      <w:r w:rsidRPr="00BB7E39">
        <w:rPr>
          <w:rFonts w:ascii="Times New Roman" w:hAnsi="Times New Roman" w:cs="Times New Roman"/>
          <w:sz w:val="28"/>
          <w:szCs w:val="28"/>
        </w:rPr>
        <w:t xml:space="preserve"> 99-ФЗ </w:t>
      </w:r>
      <w:r w:rsidRPr="00BB7E39" w:rsidR="00B04BC5">
        <w:rPr>
          <w:rFonts w:ascii="Times New Roman" w:hAnsi="Times New Roman" w:cs="Times New Roman"/>
          <w:sz w:val="28"/>
          <w:szCs w:val="28"/>
        </w:rPr>
        <w:t>«</w:t>
      </w:r>
      <w:r w:rsidRPr="00BB7E39"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BB7E39" w:rsidR="00B04BC5">
        <w:rPr>
          <w:rFonts w:ascii="Times New Roman" w:hAnsi="Times New Roman" w:cs="Times New Roman"/>
          <w:sz w:val="28"/>
          <w:szCs w:val="28"/>
        </w:rPr>
        <w:t>»</w:t>
      </w:r>
      <w:r w:rsidRPr="00BB7E39">
        <w:rPr>
          <w:rFonts w:ascii="Times New Roman" w:hAnsi="Times New Roman" w:cs="Times New Roman"/>
          <w:sz w:val="28"/>
          <w:szCs w:val="28"/>
        </w:rPr>
        <w:t xml:space="preserve"> лицензия - специальное разрешение на п</w:t>
      </w:r>
      <w:r w:rsidRPr="00BB7E39">
        <w:rPr>
          <w:rFonts w:ascii="Times New Roman" w:hAnsi="Times New Roman" w:cs="Times New Roman"/>
          <w:sz w:val="28"/>
          <w:szCs w:val="28"/>
        </w:rPr>
        <w:t>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лицензирующим органом на бум</w:t>
      </w:r>
      <w:r w:rsidRPr="00BB7E39">
        <w:rPr>
          <w:rFonts w:ascii="Times New Roman" w:hAnsi="Times New Roman" w:cs="Times New Roman"/>
          <w:sz w:val="28"/>
          <w:szCs w:val="28"/>
        </w:rPr>
        <w:t xml:space="preserve">ажном носителе или в форме электронного документа, подписанного электронной </w:t>
      </w:r>
      <w:r w:rsidRPr="00BB7E39">
        <w:rPr>
          <w:rFonts w:ascii="Times New Roman" w:hAnsi="Times New Roman" w:cs="Times New Roman"/>
          <w:sz w:val="28"/>
          <w:szCs w:val="28"/>
        </w:rPr>
        <w:t>подписью, в случае, если в заявлении о предоставлении лицензии указывалось на необходимость выдачи такого документа в форме электронного документа.</w:t>
      </w:r>
    </w:p>
    <w:p w:rsidR="00327C53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>Пунктом 2 Положения о лицензиров</w:t>
      </w:r>
      <w:r w:rsidRPr="00BB7E39">
        <w:rPr>
          <w:rFonts w:ascii="Times New Roman" w:hAnsi="Times New Roman" w:cs="Times New Roman"/>
          <w:sz w:val="28"/>
          <w:szCs w:val="28"/>
        </w:rPr>
        <w:t xml:space="preserve">ании деятельности по сохранению объектов культурного наследия (памятников истории и культуры) народов Российской Федерации, утвержденного Постановлением Правительства РФ от 19.04.2012 </w:t>
      </w:r>
      <w:r w:rsidRPr="00BB7E39" w:rsidR="00B04BC5">
        <w:rPr>
          <w:rFonts w:ascii="Times New Roman" w:hAnsi="Times New Roman" w:cs="Times New Roman"/>
          <w:sz w:val="28"/>
          <w:szCs w:val="28"/>
        </w:rPr>
        <w:t>№</w:t>
      </w:r>
      <w:r w:rsidRPr="00BB7E39">
        <w:rPr>
          <w:rFonts w:ascii="Times New Roman" w:hAnsi="Times New Roman" w:cs="Times New Roman"/>
          <w:sz w:val="28"/>
          <w:szCs w:val="28"/>
        </w:rPr>
        <w:t xml:space="preserve"> 349 (далее - Положение) предусмотрено, что лицензирование деятельности</w:t>
      </w:r>
      <w:r w:rsidRPr="00BB7E39">
        <w:rPr>
          <w:rFonts w:ascii="Times New Roman" w:hAnsi="Times New Roman" w:cs="Times New Roman"/>
          <w:sz w:val="28"/>
          <w:szCs w:val="28"/>
        </w:rPr>
        <w:t xml:space="preserve"> по сохранению объектов осуществляется Министерством культуры Российской Федерации.</w:t>
      </w:r>
    </w:p>
    <w:p w:rsidR="00327C53" w:rsidRPr="00BB7E39" w:rsidP="00BB7E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В силу положений постановления Правительства РФ от 19.04.2012 </w:t>
      </w:r>
      <w:r w:rsidRPr="00BB7E39" w:rsidR="00B04BC5">
        <w:rPr>
          <w:rFonts w:ascii="Times New Roman" w:hAnsi="Times New Roman" w:cs="Times New Roman"/>
          <w:sz w:val="28"/>
          <w:szCs w:val="28"/>
        </w:rPr>
        <w:t>№</w:t>
      </w:r>
      <w:r w:rsidRPr="00BB7E39">
        <w:rPr>
          <w:rFonts w:ascii="Times New Roman" w:hAnsi="Times New Roman" w:cs="Times New Roman"/>
          <w:sz w:val="28"/>
          <w:szCs w:val="28"/>
        </w:rPr>
        <w:t xml:space="preserve"> 349 </w:t>
      </w:r>
      <w:r w:rsidRPr="00BB7E39" w:rsidR="00B04BC5">
        <w:rPr>
          <w:rFonts w:ascii="Times New Roman" w:hAnsi="Times New Roman" w:cs="Times New Roman"/>
          <w:sz w:val="28"/>
          <w:szCs w:val="28"/>
        </w:rPr>
        <w:t>«</w:t>
      </w:r>
      <w:r w:rsidRPr="00BB7E39">
        <w:rPr>
          <w:rFonts w:ascii="Times New Roman" w:hAnsi="Times New Roman" w:cs="Times New Roman"/>
          <w:sz w:val="28"/>
          <w:szCs w:val="28"/>
        </w:rPr>
        <w:t>О лицензировании деятельности по сохранению объектов культурного наследия (памятников истории и культур</w:t>
      </w:r>
      <w:r w:rsidRPr="00BB7E39">
        <w:rPr>
          <w:rFonts w:ascii="Times New Roman" w:hAnsi="Times New Roman" w:cs="Times New Roman"/>
          <w:sz w:val="28"/>
          <w:szCs w:val="28"/>
        </w:rPr>
        <w:t>ы) народов Российской Федерации</w:t>
      </w:r>
      <w:r w:rsidRPr="00BB7E39" w:rsidR="00B04BC5">
        <w:rPr>
          <w:rFonts w:ascii="Times New Roman" w:hAnsi="Times New Roman" w:cs="Times New Roman"/>
          <w:sz w:val="28"/>
          <w:szCs w:val="28"/>
        </w:rPr>
        <w:t>»</w:t>
      </w:r>
      <w:r w:rsidRPr="00BB7E39">
        <w:rPr>
          <w:rFonts w:ascii="Times New Roman" w:hAnsi="Times New Roman" w:cs="Times New Roman"/>
          <w:sz w:val="28"/>
          <w:szCs w:val="28"/>
        </w:rPr>
        <w:t xml:space="preserve"> (вместе с </w:t>
      </w:r>
      <w:r w:rsidRPr="00BB7E39" w:rsidR="003132D8">
        <w:rPr>
          <w:rFonts w:ascii="Times New Roman" w:hAnsi="Times New Roman" w:cs="Times New Roman"/>
          <w:sz w:val="28"/>
          <w:szCs w:val="28"/>
        </w:rPr>
        <w:t>«</w:t>
      </w:r>
      <w:r w:rsidRPr="00BB7E39">
        <w:rPr>
          <w:rFonts w:ascii="Times New Roman" w:hAnsi="Times New Roman" w:cs="Times New Roman"/>
          <w:sz w:val="28"/>
          <w:szCs w:val="28"/>
        </w:rPr>
        <w:t>Положением о лицензировании деятельности по сохранению объектов культурного наследия (памятников истории и культуры) народов Российской Федерации</w:t>
      </w:r>
      <w:r w:rsidRPr="00BB7E39" w:rsidR="003132D8">
        <w:rPr>
          <w:rFonts w:ascii="Times New Roman" w:hAnsi="Times New Roman" w:cs="Times New Roman"/>
          <w:sz w:val="28"/>
          <w:szCs w:val="28"/>
        </w:rPr>
        <w:t>»</w:t>
      </w:r>
      <w:r w:rsidRPr="00BB7E39">
        <w:rPr>
          <w:rFonts w:ascii="Times New Roman" w:hAnsi="Times New Roman" w:cs="Times New Roman"/>
          <w:sz w:val="28"/>
          <w:szCs w:val="28"/>
        </w:rPr>
        <w:t>) деятельность по сохранению объектов составляют, в том числе</w:t>
      </w:r>
      <w:r w:rsidRPr="00BB7E39" w:rsidR="003132D8">
        <w:rPr>
          <w:rFonts w:ascii="Times New Roman" w:hAnsi="Times New Roman" w:cs="Times New Roman"/>
          <w:sz w:val="28"/>
          <w:szCs w:val="28"/>
        </w:rPr>
        <w:t>:</w:t>
      </w:r>
      <w:r w:rsidRPr="00BB7E39">
        <w:rPr>
          <w:rFonts w:ascii="Times New Roman" w:hAnsi="Times New Roman" w:cs="Times New Roman"/>
          <w:sz w:val="28"/>
          <w:szCs w:val="28"/>
        </w:rPr>
        <w:t xml:space="preserve"> </w:t>
      </w:r>
      <w:r w:rsidRPr="00BB7E39" w:rsidR="003132D8">
        <w:rPr>
          <w:rFonts w:ascii="Times New Roman" w:hAnsi="Times New Roman" w:cs="Times New Roman"/>
          <w:sz w:val="28"/>
          <w:szCs w:val="28"/>
        </w:rPr>
        <w:t>разработка проектной документации по ремонту и приспособлению объектов культурного наследия (памятников истории и культуры) народов Российской Федерации; реставрация, консервация и воссоздание оснований, фундаментов, кладок, ограждающих конструкций и распорных систем;  реставрация, консервация и воссоздание металлических конструкций и деталей; реставрация, консервация и воссоздание деревянных конструкций и деталей; реставрация, консервация и воссоздание декоративно-художественных покрасок, штукатурной отделки и архитектурно-лепного декора; реставрация, консервация и воссоздание конструкций и деталей из естественного и искусственного камней; ремонт и приспособление объектов культурного наследия (памятников истории и культуры) народов Российской Федерации</w:t>
      </w:r>
      <w:r w:rsidRPr="00BB7E39">
        <w:rPr>
          <w:rFonts w:ascii="Times New Roman" w:hAnsi="Times New Roman" w:cs="Times New Roman"/>
          <w:sz w:val="28"/>
          <w:szCs w:val="28"/>
        </w:rPr>
        <w:t>.</w:t>
      </w:r>
    </w:p>
    <w:p w:rsidR="00E40338" w:rsidRPr="00BB7E39" w:rsidP="00BB7E3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рассмотрении дела установлено, что</w:t>
      </w:r>
      <w:r w:rsidRPr="00BB7E39" w:rsidR="004F60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 w:rsidR="005C3958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BB7E39" w:rsidR="001A5D43">
        <w:rPr>
          <w:rFonts w:ascii="Times New Roman" w:hAnsi="Times New Roman" w:eastAsiaTheme="minorHAnsi" w:cs="Times New Roman"/>
          <w:sz w:val="28"/>
          <w:szCs w:val="28"/>
          <w:lang w:eastAsia="en-US"/>
        </w:rPr>
        <w:t>а основании запроса УМВД России по г. Симферополю от 05.12.2018 г. №49/50961 поступившего в адрес Департамента государственной охраны культурного наследия Минкультуры России о нарушениях ООО «Корпорация АТТА Групп»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тре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бований ст. 45 </w:t>
      </w:r>
      <w:r w:rsidRPr="00BB7E39">
        <w:rPr>
          <w:rFonts w:ascii="Times New Roman" w:hAnsi="Times New Roman" w:cs="Times New Roman"/>
          <w:sz w:val="28"/>
          <w:szCs w:val="28"/>
        </w:rPr>
        <w:t xml:space="preserve">Закона № 73-ФЗ при осуществлении работ на объектах культурного наследия, в том числе, на объекте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«Здание бывшей кенассы, 1896 г. (1934-1936 гг. – перестройка)», Управлением Минкультуры России по ЮФО и СКФО издан приказ №25 от 05.02.2019 г. о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проведении с 18.02.2019 г. по 18.03.2019 г. проверки ООО «Корпорация АТТА Групп» с целью проверки информации, изложенной в названном запросе.</w:t>
      </w:r>
    </w:p>
    <w:p w:rsidR="006C01E2" w:rsidRPr="00BB7E39" w:rsidP="00BB7E3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В</w:t>
      </w:r>
      <w:r w:rsidRPr="00BB7E39"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ходе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внеплановой документарной </w:t>
      </w:r>
      <w:r w:rsidRPr="00BB7E39" w:rsidR="00AF57C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проверки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</w:t>
      </w:r>
      <w:r w:rsidRPr="00BB7E39" w:rsidR="001054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ООО «Корпорация АТТА Групп» выявлены нарушения в процессе осуществления своей деятельности при осуществлении противоаварийных, первоочередных и реставрационных работ по сохранению объектов культурного наследия, включенных в федеральную целевую программу «Социально-Экономическое развитие Республики Крым и г. Севастополя до 2020 года»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BB7E39" w:rsidR="005C39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изложенные в Акте проверки №20 от 18.03.2019 г.,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 именно:</w:t>
      </w:r>
      <w:r w:rsidRPr="00BB7E39" w:rsidR="001054E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1054EC" w:rsidRPr="00BB7E39" w:rsidP="00BB7E3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между ООО «Корпорация АТТА-Групп» с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был заключен договор №7121/16 от 07.12.2016 г. на выполнение работ по сохранению объекта культурного наследия - «Здание бывшей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кенассы, 1896 г. (1934-1936 гг. – перестройка)», расположенного по адресу: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ходе проверки было установлено, что у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момент заключения договоров отсутствовала лицензия на осуществле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ние деятельности по сохранению объектов культурного наследия (памятников истории и культуры) народов Российской Федерации;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работы проведены в нарушение пп. «в» п. 4 Положения о лицензировании деятельности по сохранению объектов культурного наслед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ия памятников истории и культуры) народов Российской Федерации (утв. Постановлением Правительства РФ от 19,04,2012 № 349 «О лицензировании деятельности по сохранению объектов культурного наследия (памятников истории и культуры) народов Российской Федерации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»), а именно проведение лицензиатом работ по сохранению объектов культурного наследия осуществлялось в нарушение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45 Федерального закона № Ф3-73 «Об объектах культурного наследия (памятниках истории и культуры) народов Российской Федерации».</w:t>
      </w:r>
    </w:p>
    <w:p w:rsidR="005C3958" w:rsidRPr="00BB7E39" w:rsidP="00BB7E3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рении дела установлено, что  «Здание бывшей кенассы, 1896 г. (1934-1936 гг. – перестройка)»,  расположенное по адресу: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является объектом культурного наследия. </w:t>
      </w:r>
    </w:p>
    <w:p w:rsidR="00B30FBA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 xml:space="preserve">Согласно Государственному </w:t>
      </w:r>
      <w:r w:rsidRPr="00BB7E39">
        <w:rPr>
          <w:rStyle w:val="2"/>
          <w:color w:val="000000"/>
        </w:rPr>
        <w:t>контракту на выполнение противоаварийных, ремонтно-реставрационных работ по объектам федеральной целевой программы «Социально-экономическое развитие Республики Крым и г. Севастополя до 2020 года» от 29.12.2015 г. № 13 (далее – Государственный контракт №13)</w:t>
      </w:r>
      <w:r w:rsidRPr="00BB7E39">
        <w:rPr>
          <w:rStyle w:val="2"/>
          <w:color w:val="000000"/>
        </w:rPr>
        <w:t>, заключенному между Государственным комитетом по охране культурного наследия Республики Крым и ООО «Корпорация АТТА Групп», Общество обязуется выполнить противоаварийные, ремонтно-реставрационные работы в установленный контрактом срок по объекту «Здание б</w:t>
      </w:r>
      <w:r w:rsidRPr="00BB7E39">
        <w:rPr>
          <w:rStyle w:val="2"/>
          <w:color w:val="000000"/>
        </w:rPr>
        <w:t xml:space="preserve">ывшей кенассы, 1896 г. (1934 – 1936 гг. – перестройка)», по адресу: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Style w:val="2"/>
          <w:color w:val="000000"/>
        </w:rPr>
        <w:t>, разработать проектную и рабочую документацию, сводный сметный расчет и локальный сметный расчет (п. 1.1 Государственного контракта №</w:t>
      </w:r>
      <w:r w:rsidRPr="00BB7E39">
        <w:rPr>
          <w:rStyle w:val="2"/>
          <w:color w:val="000000"/>
        </w:rPr>
        <w:t>13)</w:t>
      </w:r>
      <w:r w:rsidRPr="00BB7E39" w:rsidR="00C63ABA">
        <w:rPr>
          <w:rStyle w:val="2"/>
          <w:color w:val="000000"/>
        </w:rPr>
        <w:t>.</w:t>
      </w:r>
    </w:p>
    <w:p w:rsidR="00B30FBA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>Согласно п. 9.1 Государственного контракта №13, Исполнитель несет в полном объеме ответственность за качество и соблюдение сроков выполнения работ привлеченными им субподрядными Исполнителями.</w:t>
      </w:r>
    </w:p>
    <w:p w:rsidR="00B30FBA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>В соответствии с п.</w:t>
      </w:r>
      <w:r w:rsidRPr="00BB7E39" w:rsidR="002A2402">
        <w:rPr>
          <w:rStyle w:val="2"/>
          <w:color w:val="000000"/>
        </w:rPr>
        <w:t xml:space="preserve"> </w:t>
      </w:r>
      <w:r w:rsidRPr="00BB7E39">
        <w:rPr>
          <w:rStyle w:val="2"/>
          <w:color w:val="000000"/>
        </w:rPr>
        <w:t>5 Дополнительного соглашения №1 к Госу</w:t>
      </w:r>
      <w:r w:rsidRPr="00BB7E39">
        <w:rPr>
          <w:rStyle w:val="2"/>
          <w:color w:val="000000"/>
        </w:rPr>
        <w:t>дарственному контракту №13</w:t>
      </w:r>
      <w:r w:rsidRPr="00BB7E39" w:rsidR="00E36A86">
        <w:rPr>
          <w:rStyle w:val="2"/>
          <w:color w:val="000000"/>
        </w:rPr>
        <w:t xml:space="preserve">, Исполнитель должен иметь лицензии и необходимые допуски к работам, а именно лицензию на </w:t>
      </w:r>
      <w:r w:rsidRPr="00BB7E39" w:rsidR="00C63ABA">
        <w:rPr>
          <w:rStyle w:val="2"/>
          <w:color w:val="000000"/>
        </w:rPr>
        <w:t>осуществлении</w:t>
      </w:r>
      <w:r w:rsidRPr="00BB7E39" w:rsidR="00E36A86">
        <w:rPr>
          <w:rStyle w:val="2"/>
          <w:color w:val="000000"/>
        </w:rPr>
        <w:t xml:space="preserve"> </w:t>
      </w:r>
      <w:r w:rsidRPr="00BB7E39" w:rsidR="00C63ABA">
        <w:rPr>
          <w:rStyle w:val="2"/>
          <w:color w:val="000000"/>
        </w:rPr>
        <w:t>деятельности по сохранению объектов культурного наследия, выданной Министерством Культуры Российской Федерации.</w:t>
      </w:r>
    </w:p>
    <w:p w:rsidR="00C63ABA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 xml:space="preserve">07.12.2016 г. </w:t>
      </w:r>
      <w:r w:rsidRPr="00BB7E39">
        <w:rPr>
          <w:rStyle w:val="2"/>
          <w:color w:val="000000"/>
        </w:rPr>
        <w:t xml:space="preserve">между ООО «Корпорация АТТА Групп» и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Style w:val="2"/>
          <w:color w:val="000000"/>
        </w:rPr>
        <w:t xml:space="preserve">  заключен Договор подряда №7121/16 от 07.12.2016 г., в соответствии с п. 1.1.    которого, Подрядчик взял на себя обязательства выполнить первоочередные, </w:t>
      </w:r>
      <w:r w:rsidRPr="00BB7E39">
        <w:rPr>
          <w:rStyle w:val="2"/>
          <w:color w:val="000000"/>
        </w:rPr>
        <w:t>противоаварийные работы на объекте культурного наследия</w:t>
      </w:r>
      <w:r w:rsidRPr="00BB7E39">
        <w:rPr>
          <w:rStyle w:val="2"/>
          <w:color w:val="000000"/>
        </w:rPr>
        <w:t xml:space="preserve"> «Здание кенассы, (конец </w:t>
      </w:r>
      <w:r w:rsidRPr="00BB7E39">
        <w:rPr>
          <w:rStyle w:val="2"/>
          <w:color w:val="000000"/>
          <w:lang w:val="en-US"/>
        </w:rPr>
        <w:t>XIX</w:t>
      </w:r>
      <w:r w:rsidRPr="00BB7E39">
        <w:rPr>
          <w:rStyle w:val="2"/>
          <w:color w:val="000000"/>
        </w:rPr>
        <w:t xml:space="preserve">-начало </w:t>
      </w:r>
      <w:r w:rsidRPr="00BB7E39">
        <w:rPr>
          <w:rStyle w:val="2"/>
          <w:color w:val="000000"/>
          <w:lang w:val="en-US"/>
        </w:rPr>
        <w:t>XX</w:t>
      </w:r>
      <w:r w:rsidRPr="00202FB6">
        <w:rPr>
          <w:rStyle w:val="2"/>
          <w:color w:val="000000"/>
        </w:rPr>
        <w:t xml:space="preserve"> </w:t>
      </w:r>
      <w:r w:rsidRPr="00BB7E39">
        <w:rPr>
          <w:rStyle w:val="2"/>
          <w:color w:val="000000"/>
        </w:rPr>
        <w:t xml:space="preserve">веков)», расположенном по адресу: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>
        <w:rPr>
          <w:rStyle w:val="2"/>
          <w:color w:val="000000"/>
        </w:rPr>
        <w:t>, в соответствии с проектной документацией и в сроки, предусмотренные настоящим Договором.</w:t>
      </w:r>
    </w:p>
    <w:p w:rsidR="00C63ABA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 xml:space="preserve">С 27.12.2016 г. по 30.06.2017 </w:t>
      </w:r>
      <w:r w:rsidRPr="00BB7E39">
        <w:rPr>
          <w:rStyle w:val="2"/>
          <w:color w:val="000000"/>
        </w:rPr>
        <w:t>г.</w:t>
      </w:r>
      <w:r w:rsidRPr="00BB7E39" w:rsidR="00715CA5">
        <w:rPr>
          <w:rStyle w:val="2"/>
          <w:color w:val="000000"/>
        </w:rPr>
        <w:t>,</w:t>
      </w:r>
      <w:r w:rsidRPr="00BB7E39">
        <w:rPr>
          <w:rStyle w:val="2"/>
          <w:color w:val="000000"/>
        </w:rPr>
        <w:t xml:space="preserve"> </w:t>
      </w:r>
      <w:r w:rsidR="005C338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7E39" w:rsidR="00715CA5">
        <w:rPr>
          <w:rStyle w:val="2"/>
          <w:color w:val="000000"/>
        </w:rPr>
        <w:t xml:space="preserve"> </w:t>
      </w:r>
      <w:r w:rsidRPr="00BB7E39">
        <w:rPr>
          <w:rStyle w:val="2"/>
          <w:color w:val="000000"/>
        </w:rPr>
        <w:t>производили</w:t>
      </w:r>
      <w:r w:rsidRPr="00BB7E39" w:rsidR="00715CA5">
        <w:rPr>
          <w:rStyle w:val="2"/>
          <w:color w:val="000000"/>
        </w:rPr>
        <w:t>сь</w:t>
      </w:r>
      <w:r w:rsidRPr="00BB7E39">
        <w:rPr>
          <w:rStyle w:val="2"/>
          <w:color w:val="000000"/>
        </w:rPr>
        <w:t xml:space="preserve"> </w:t>
      </w:r>
      <w:r w:rsidRPr="00BB7E39" w:rsidR="00715CA5">
        <w:rPr>
          <w:rStyle w:val="2"/>
          <w:color w:val="000000"/>
        </w:rPr>
        <w:t xml:space="preserve">предусмотренные Договором подряда №7121/16 от 07.12.2016 г. </w:t>
      </w:r>
      <w:r w:rsidRPr="00BB7E39">
        <w:rPr>
          <w:rStyle w:val="2"/>
          <w:color w:val="000000"/>
        </w:rPr>
        <w:t xml:space="preserve">работы  </w:t>
      </w:r>
      <w:r w:rsidRPr="00BB7E39" w:rsidR="00715CA5">
        <w:rPr>
          <w:rStyle w:val="2"/>
          <w:color w:val="000000"/>
        </w:rPr>
        <w:t xml:space="preserve"> на объекте культурного наследия «Здание кенассы, (конец </w:t>
      </w:r>
      <w:r w:rsidRPr="00BB7E39" w:rsidR="00715CA5">
        <w:rPr>
          <w:rStyle w:val="2"/>
          <w:color w:val="000000"/>
          <w:lang w:val="en-US"/>
        </w:rPr>
        <w:t>XIX</w:t>
      </w:r>
      <w:r w:rsidRPr="00BB7E39" w:rsidR="00715CA5">
        <w:rPr>
          <w:rStyle w:val="2"/>
          <w:color w:val="000000"/>
        </w:rPr>
        <w:t xml:space="preserve">-начало </w:t>
      </w:r>
      <w:r w:rsidRPr="00BB7E39" w:rsidR="00715CA5">
        <w:rPr>
          <w:rStyle w:val="2"/>
          <w:color w:val="000000"/>
          <w:lang w:val="en-US"/>
        </w:rPr>
        <w:t>XX</w:t>
      </w:r>
      <w:r w:rsidRPr="00202FB6" w:rsidR="00715CA5">
        <w:rPr>
          <w:rStyle w:val="2"/>
          <w:color w:val="000000"/>
        </w:rPr>
        <w:t xml:space="preserve"> </w:t>
      </w:r>
      <w:r w:rsidRPr="00BB7E39" w:rsidR="00715CA5">
        <w:rPr>
          <w:rStyle w:val="2"/>
          <w:color w:val="000000"/>
        </w:rPr>
        <w:t>веков)»</w:t>
      </w:r>
      <w:r w:rsidRPr="00BB7E39">
        <w:rPr>
          <w:rStyle w:val="2"/>
          <w:color w:val="000000"/>
        </w:rPr>
        <w:t>, без специального разрешения (лицензии), в нарушение требований законодательст</w:t>
      </w:r>
      <w:r w:rsidRPr="00BB7E39">
        <w:rPr>
          <w:rStyle w:val="2"/>
          <w:color w:val="000000"/>
        </w:rPr>
        <w:t>ва о лицензировании деятельности по сохранению объектов культурного наследия.</w:t>
      </w:r>
    </w:p>
    <w:p w:rsidR="002A2402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>Лицо, имеющее в соответствии со статьей 706 Гражданского кодекса Российской Федерации статус генерального подрядчика, в строительном процессе является исполнителем работ перед за</w:t>
      </w:r>
      <w:r w:rsidRPr="00BB7E39">
        <w:rPr>
          <w:rStyle w:val="2"/>
          <w:color w:val="000000"/>
        </w:rPr>
        <w:t>казчиком и несет ответственность за последствия неисполнения или ненадлежащего исполнения обязательств субподрядчиком; лицо, имеющее статус генерального подрядчика и осуществляющее вид работ по организации строительства, реконструкции и капитального ремонт</w:t>
      </w:r>
      <w:r w:rsidRPr="00BB7E39">
        <w:rPr>
          <w:rStyle w:val="2"/>
          <w:color w:val="000000"/>
        </w:rPr>
        <w:t>а, обязано иметь свидетельство о допуске на данный вид работ; в случае, когда лицо, имеющее статус генерального подрядчика и свидетельство о допуске на вид работ по организации строительства, реконструкции и капитального ремонта, планирует некоторые виды р</w:t>
      </w:r>
      <w:r w:rsidRPr="00BB7E39">
        <w:rPr>
          <w:rStyle w:val="2"/>
          <w:color w:val="000000"/>
        </w:rPr>
        <w:t>абот, оказывающие влияние на безопасность объектов капитального строительства, выполнить самостоятельно, ему необходимо иметь свидетельство о допуске на данные виды работ.</w:t>
      </w:r>
    </w:p>
    <w:p w:rsidR="00344940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Style w:val="2"/>
          <w:color w:val="000000"/>
        </w:rPr>
      </w:pPr>
      <w:r w:rsidRPr="00BB7E39">
        <w:rPr>
          <w:rStyle w:val="2"/>
          <w:color w:val="000000"/>
        </w:rPr>
        <w:t xml:space="preserve">Согласно выписке из ЕГРЮЛ   руководителем ООО «Корпорация АТТА Групп»  с 03.02.2016 </w:t>
      </w:r>
      <w:r w:rsidRPr="00BB7E39">
        <w:rPr>
          <w:rStyle w:val="2"/>
          <w:color w:val="000000"/>
        </w:rPr>
        <w:t>г.,</w:t>
      </w:r>
      <w:r w:rsidRPr="00BB7E39">
        <w:rPr>
          <w:rStyle w:val="2"/>
          <w:color w:val="000000"/>
        </w:rPr>
        <w:t xml:space="preserve"> является Кряквина Н.В.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</w:t>
      </w:r>
      <w:r w:rsidRPr="00BB7E39">
        <w:rPr>
          <w:rStyle w:val="2"/>
          <w:color w:val="000000"/>
        </w:rPr>
        <w:t>оверенности действовать от имени юридического лица, считаются достоверными до</w:t>
      </w:r>
      <w:r w:rsidRPr="00BB7E39">
        <w:rPr>
          <w:rStyle w:val="2"/>
          <w:color w:val="000000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</w:t>
      </w:r>
    </w:p>
    <w:p w:rsidR="002A2402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с учетом имеющихся в материалах дела до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кументов, в данном случае субъектом правонарушения, предусмотренного ч. 2 ст. 14.1 Кодекса Российской Федерации об административных правонарушениях, является именно генеральный директор </w:t>
      </w:r>
      <w:r w:rsidRPr="00BB7E39">
        <w:rPr>
          <w:rStyle w:val="2"/>
          <w:color w:val="000000"/>
        </w:rPr>
        <w:t xml:space="preserve">ООО «Корпорация АТТА Групп» Кряквина Н.В.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Опровергающих указанные обст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оятельства доказательств мировому судье не представлено.</w:t>
      </w:r>
    </w:p>
    <w:p w:rsidR="002A2402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генеральный директор </w:t>
      </w:r>
      <w:r w:rsidRPr="00BB7E39">
        <w:rPr>
          <w:rStyle w:val="2"/>
          <w:color w:val="000000"/>
        </w:rPr>
        <w:t>ООО «Корпорация АТТА Групп» Кряквина Н.В.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совершила правонарушени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е, предусмотренное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EC6EC1" w:rsidRPr="00BB7E39" w:rsidP="00BB7E39">
      <w:pPr>
        <w:autoSpaceDE w:val="0"/>
        <w:autoSpaceDN w:val="0"/>
        <w:adjustRightInd w:val="0"/>
        <w:spacing w:after="0" w:line="240" w:lineRule="auto"/>
        <w:ind w:right="19" w:firstLine="72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генеральным директором ООО «Корпорация АТТА Групп» Кряквиной Н.В.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2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14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</w:t>
      </w:r>
      <w:r w:rsidRPr="00BB7E39"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Российской Федерации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административном правонарушении</w:t>
      </w:r>
      <w:r w:rsidRPr="00BB7E39" w:rsidR="00E612D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подтверждается:  протоколом</w:t>
      </w:r>
      <w:r w:rsidRPr="00BB7E39" w:rsidR="00C96DF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43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административном правонарушении от 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BB7E39" w:rsidR="00C96DF7">
        <w:rPr>
          <w:rFonts w:ascii="Times New Roman" w:hAnsi="Times New Roman" w:eastAsiaTheme="minorHAnsi" w:cs="Times New Roman"/>
          <w:sz w:val="28"/>
          <w:szCs w:val="28"/>
          <w:lang w:eastAsia="en-US"/>
        </w:rPr>
        <w:t>08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1-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BB7E39" w:rsidR="003132D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собственноручно написанными объяснениями </w:t>
      </w:r>
      <w:r w:rsidRPr="00BB7E39" w:rsidR="003E796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Кряквиной  Н.В.  от 05.08.2019 г. (л.д. 11), </w:t>
      </w:r>
      <w:r w:rsidRPr="00BB7E39" w:rsidR="00F166D6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 контрактом н выполнение </w:t>
      </w:r>
      <w:r w:rsidRPr="00BB7E39" w:rsidR="00F166D6">
        <w:rPr>
          <w:rFonts w:ascii="Times New Roman" w:hAnsi="Times New Roman" w:cs="Times New Roman"/>
          <w:sz w:val="28"/>
          <w:szCs w:val="28"/>
        </w:rPr>
        <w:t>противоаварийных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, ремонтно-реставрационных работ по объектам федеральной целевой программы «Социально-экономическое развитие Республики Крым и г. </w:t>
      </w:r>
      <w:r w:rsidRPr="00BB7E39" w:rsidR="00F166D6">
        <w:rPr>
          <w:rFonts w:ascii="Times New Roman" w:hAnsi="Times New Roman" w:cs="Times New Roman"/>
          <w:sz w:val="28"/>
          <w:szCs w:val="28"/>
        </w:rPr>
        <w:t>Севастополя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 до 2020 года» от 29.12.2015 г. № 13 (л.д. 14</w:t>
      </w:r>
      <w:r w:rsidRPr="00BB7E39" w:rsidR="00B90DFC">
        <w:rPr>
          <w:rFonts w:ascii="Times New Roman" w:hAnsi="Times New Roman" w:cs="Times New Roman"/>
          <w:sz w:val="28"/>
          <w:szCs w:val="28"/>
        </w:rPr>
        <w:t xml:space="preserve">-34);  дополнительным соглашением №1 к </w:t>
      </w:r>
      <w:r w:rsidRPr="00BB7E39" w:rsidR="00F166D6">
        <w:rPr>
          <w:rFonts w:ascii="Times New Roman" w:hAnsi="Times New Roman" w:cs="Times New Roman"/>
          <w:sz w:val="28"/>
          <w:szCs w:val="28"/>
        </w:rPr>
        <w:t>Государственному</w:t>
      </w:r>
      <w:r w:rsidRPr="00BB7E39" w:rsidR="00B90DFC">
        <w:rPr>
          <w:rFonts w:ascii="Times New Roman" w:hAnsi="Times New Roman" w:cs="Times New Roman"/>
          <w:sz w:val="28"/>
          <w:szCs w:val="28"/>
        </w:rPr>
        <w:t xml:space="preserve"> контракту №13 от 29.12.2015 г. (л.д. 35-74</w:t>
      </w:r>
      <w:r w:rsidRPr="00BB7E39" w:rsidR="00F166D6">
        <w:rPr>
          <w:rFonts w:ascii="Times New Roman" w:hAnsi="Times New Roman" w:cs="Times New Roman"/>
          <w:sz w:val="28"/>
          <w:szCs w:val="28"/>
        </w:rPr>
        <w:t>); договором подряда №7121/16 от 07.12.2016 г. (л.д. 75-78); дополнительным соглашением №1 к Договору подряда №7121/16 от 07.12.2016 г. (л.д. 79); актом о приемке выполненных работ за июнь 2018 г. (л.д. 80-83), выпиской из ЕГРЮЛ</w:t>
      </w:r>
      <w:r w:rsidRPr="00BB7E39" w:rsidR="00BB7E39">
        <w:rPr>
          <w:rFonts w:ascii="Times New Roman" w:hAnsi="Times New Roman" w:cs="Times New Roman"/>
          <w:sz w:val="28"/>
          <w:szCs w:val="28"/>
        </w:rPr>
        <w:t>; приказом Управления Минкультуры России по ЮФО и СКФО от 05.02.2019 г. №25; Актом проверки Управления Минкультуры России по ЮФО и СКФО №20 от 18.03.2019 г.; запросом УМВД России по г. Симферополю от 05.12.2018 г. №49/50961</w:t>
      </w:r>
      <w:r w:rsidRPr="00BB7E39" w:rsidR="00735B2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9040B5" w:rsidRPr="00BB7E39" w:rsidP="00BB7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>Достоверность и допустимость данных доказательств сомнений не вызывает, поскольку они согласуются друг с другом, никаких противоречий н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е содержат и соответствуют фактическим обстоятельствам.</w:t>
      </w:r>
    </w:p>
    <w:p w:rsidR="006C7C5C" w:rsidRPr="00BB7E39" w:rsidP="00BB7E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неисполнение </w:t>
      </w:r>
      <w:r w:rsidRPr="00BB7E39" w:rsidR="00F166D6">
        <w:rPr>
          <w:rFonts w:ascii="Times New Roman" w:hAnsi="Times New Roman" w:cs="Times New Roman"/>
          <w:sz w:val="28"/>
          <w:szCs w:val="28"/>
        </w:rPr>
        <w:t>генеральным директором ООО «Корпорация АТТА Групп» Кряквиной  Н.В. должностных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выразившихся в нарушении </w:t>
      </w:r>
      <w:r w:rsidRPr="00BB7E39" w:rsidR="00F166D6">
        <w:rPr>
          <w:rFonts w:ascii="Times New Roman" w:eastAsia="Times New Roman" w:hAnsi="Times New Roman" w:cs="Times New Roman"/>
          <w:sz w:val="28"/>
          <w:szCs w:val="28"/>
        </w:rPr>
        <w:t>требований перечня лицензируемых видов деятельности по сохранению объектов культурного наследия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, с учетом требований ст. 2.4 КоАП РФ, образуют объективную сторону административного правонарушения, предусмотренного 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DA781C" w:rsidRPr="00BB7E39" w:rsidP="00BB7E39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5" w:history="1">
        <w:r w:rsidRPr="00BB7E3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2.4</w:t>
        </w:r>
      </w:hyperlink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781C" w:rsidRPr="00BB7E39" w:rsidP="00BB7E3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6" w:history="1">
        <w:r w:rsidRPr="00BB7E3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примечания к указанной норме</w:t>
        </w:r>
      </w:hyperlink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тивную ответственность как должностные лица.</w:t>
      </w:r>
    </w:p>
    <w:p w:rsidR="00D522EC" w:rsidRPr="000658D4" w:rsidP="00BB7E3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BB7E39" w:rsidR="00A350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</w:t>
      </w:r>
      <w:hyperlink r:id="rId7" w:history="1">
        <w:r w:rsidRPr="00BB7E3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26.11</w:t>
        </w:r>
      </w:hyperlink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прихожу к выводу о виновности </w:t>
      </w:r>
      <w:r w:rsidRPr="00BB7E39" w:rsidR="00A350BC">
        <w:rPr>
          <w:rFonts w:ascii="Times New Roman" w:hAnsi="Times New Roman" w:eastAsiaTheme="minorHAnsi" w:cs="Times New Roman"/>
          <w:sz w:val="28"/>
          <w:szCs w:val="28"/>
          <w:lang w:eastAsia="en-US"/>
        </w:rPr>
        <w:t>Кряквиной  Н.В.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как должностного лица </w:t>
      </w:r>
      <w:r w:rsidRPr="00BB7E39" w:rsidR="00A350BC">
        <w:rPr>
          <w:rFonts w:ascii="Times New Roman" w:hAnsi="Times New Roman" w:eastAsiaTheme="minorHAnsi" w:cs="Times New Roman"/>
          <w:sz w:val="28"/>
          <w:szCs w:val="28"/>
          <w:lang w:eastAsia="en-US"/>
        </w:rPr>
        <w:t>–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B7E39" w:rsidR="00A350BC">
        <w:rPr>
          <w:rFonts w:ascii="Times New Roman" w:hAnsi="Times New Roman" w:eastAsiaTheme="minorHAnsi" w:cs="Times New Roman"/>
          <w:sz w:val="28"/>
          <w:szCs w:val="28"/>
          <w:lang w:eastAsia="en-US"/>
        </w:rPr>
        <w:t>генерального директора ООО «Корпорация АТТА Групп»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 совершении административного </w:t>
      </w:r>
      <w:r w:rsidRPr="000658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правонарушения, предусмотренного </w:t>
      </w:r>
      <w:r w:rsidRPr="000658D4" w:rsidR="00A350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2 </w:t>
      </w:r>
      <w:hyperlink r:id="rId8" w:history="1">
        <w:r w:rsidRPr="000658D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 xml:space="preserve">ст. </w:t>
        </w:r>
        <w:r w:rsidRPr="000658D4" w:rsidR="00A350B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14</w:t>
        </w:r>
        <w:r w:rsidRPr="000658D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.</w:t>
        </w:r>
        <w:r w:rsidRPr="000658D4" w:rsidR="00A350BC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</w:t>
        </w:r>
      </w:hyperlink>
      <w:r w:rsidRPr="000658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0658D4" w:rsidRPr="000658D4" w:rsidP="000658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D4">
        <w:rPr>
          <w:rFonts w:ascii="Times New Roman" w:eastAsia="Times New Roman" w:hAnsi="Times New Roman" w:cs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не истек, поскольку давность привлечения к админи</w:t>
      </w:r>
      <w:r w:rsidRPr="000658D4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 в области обеспечения сохранности объектов культурного наследия, составляет один год со дня обнаружения административного правонарушения.</w:t>
      </w:r>
    </w:p>
    <w:p w:rsidR="00735B20" w:rsidRPr="000658D4" w:rsidP="00BB7E3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D4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 – не установлено.  </w:t>
      </w:r>
    </w:p>
    <w:p w:rsidR="00326F70" w:rsidRPr="00BB7E39" w:rsidP="00BB7E3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8D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</w:t>
      </w:r>
      <w:r w:rsidRPr="000658D4">
        <w:rPr>
          <w:rFonts w:ascii="Times New Roman" w:eastAsia="Times New Roman" w:hAnsi="Times New Roman" w:cs="Times New Roman"/>
          <w:sz w:val="28"/>
          <w:szCs w:val="28"/>
        </w:rPr>
        <w:t>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Pr="00BB7E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генерального директора </w:t>
      </w:r>
      <w:r w:rsidRPr="00BB7E39" w:rsidR="00A350BC">
        <w:rPr>
          <w:rFonts w:ascii="Times New Roman" w:hAnsi="Times New Roman" w:cs="Times New Roman"/>
          <w:sz w:val="28"/>
          <w:szCs w:val="28"/>
        </w:rPr>
        <w:t>ООО «Корпорация АТТА Групп» Кряквиной Н.В.</w:t>
      </w:r>
      <w:r w:rsidRPr="00BB7E39" w:rsidR="0050222E">
        <w:rPr>
          <w:rFonts w:ascii="Times New Roman" w:hAnsi="Times New Roman" w:cs="Times New Roman"/>
          <w:sz w:val="28"/>
          <w:szCs w:val="28"/>
        </w:rPr>
        <w:t xml:space="preserve">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35B20" w:rsidRPr="00BB7E39" w:rsidP="00BB7E3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ает характер совершённого административного правонарушения, личность виновного, его имущественное положение, </w:t>
      </w:r>
      <w:r w:rsidRPr="00BB7E39">
        <w:rPr>
          <w:rFonts w:ascii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FB6" w:rsidRPr="00176EA2" w:rsidP="00202FB6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EA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</w:t>
      </w:r>
      <w:r w:rsidRPr="00176EA2">
        <w:rPr>
          <w:rFonts w:ascii="Times New Roman" w:eastAsia="Times New Roman" w:hAnsi="Times New Roman" w:cs="Times New Roman"/>
          <w:sz w:val="28"/>
          <w:szCs w:val="28"/>
        </w:rPr>
        <w:t>ушителя, – судом не усматривается.</w:t>
      </w:r>
    </w:p>
    <w:p w:rsidR="00735B20" w:rsidRPr="00BB7E39" w:rsidP="00BB7E39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0658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 w:rsidR="000658D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BB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</w:t>
      </w:r>
      <w:r w:rsidRPr="00BB7E39">
        <w:rPr>
          <w:rFonts w:ascii="Times New Roman" w:hAnsi="Times New Roman" w:cs="Times New Roman"/>
          <w:sz w:val="28"/>
          <w:szCs w:val="28"/>
        </w:rPr>
        <w:t>директору</w:t>
      </w:r>
      <w:r w:rsidRPr="00BB7E39" w:rsidR="0050222E">
        <w:rPr>
          <w:rFonts w:ascii="Times New Roman" w:hAnsi="Times New Roman" w:cs="Times New Roman"/>
          <w:sz w:val="28"/>
          <w:szCs w:val="28"/>
        </w:rPr>
        <w:t xml:space="preserve"> </w:t>
      </w:r>
      <w:r w:rsidRPr="00BB7E39" w:rsidR="00A350BC">
        <w:rPr>
          <w:rFonts w:ascii="Times New Roman" w:hAnsi="Times New Roman" w:cs="Times New Roman"/>
          <w:sz w:val="28"/>
          <w:szCs w:val="28"/>
        </w:rPr>
        <w:t>ООО «Корпорация АТТА Групп» Кряквиной Н.В.</w:t>
      </w:r>
      <w:r w:rsidRPr="00BB7E39">
        <w:rPr>
          <w:rFonts w:ascii="Times New Roman" w:hAnsi="Times New Roman" w:cs="Times New Roman"/>
          <w:sz w:val="28"/>
          <w:szCs w:val="28"/>
        </w:rPr>
        <w:t xml:space="preserve"> </w:t>
      </w:r>
      <w:r w:rsidRPr="00BB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BB7E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7E39"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минимально предусмотренном санкцией данной статьи размере.</w:t>
      </w:r>
    </w:p>
    <w:p w:rsidR="00D522EC" w:rsidRPr="00BB7E39" w:rsidP="00BB7E3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7E39" w:rsidR="00A350B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, ст. ст. 29.10, 29.11 Кодекса Российской Федерации об административных пправонарушениях,</w:t>
      </w:r>
      <w:r w:rsidR="000658D4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D522EC" w:rsidRPr="00BB7E39" w:rsidP="00BB7E39">
      <w:pPr>
        <w:spacing w:after="0" w:line="240" w:lineRule="auto"/>
        <w:ind w:right="19"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7E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ПОСТАНОВИЛ:</w:t>
      </w:r>
    </w:p>
    <w:p w:rsidR="00D522EC" w:rsidRPr="00BB7E39" w:rsidP="00BB7E39">
      <w:pPr>
        <w:spacing w:after="0" w:line="240" w:lineRule="auto"/>
        <w:ind w:right="19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E3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B7E39" w:rsidR="003132D8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«Корпорация АТТА Групп» Кряквиной  Натальи Валерьевны </w:t>
      </w:r>
      <w:r w:rsidRPr="00BB7E39">
        <w:rPr>
          <w:rFonts w:ascii="Times New Roman" w:hAnsi="Times New Roman" w:cs="Times New Roman"/>
          <w:sz w:val="28"/>
          <w:szCs w:val="28"/>
          <w:shd w:val="clear" w:color="auto" w:fill="FFFFFF"/>
        </w:rPr>
        <w:t>виновным в совершении правонарушения, предусмотренного</w:t>
      </w:r>
      <w:r w:rsidRPr="00BB7E3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7E39" w:rsidR="00326F70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BB7E39" w:rsidR="00BB7E39">
        <w:rPr>
          <w:rFonts w:ascii="Times New Roman" w:eastAsia="Times New Roman" w:hAnsi="Times New Roman" w:cs="Times New Roman"/>
          <w:sz w:val="28"/>
          <w:szCs w:val="28"/>
        </w:rPr>
        <w:t xml:space="preserve">ч. 2 ст. 14.1 </w:t>
      </w:r>
      <w:r w:rsidRPr="00BB7E39" w:rsidR="00326F70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 w:rsidRPr="00BB7E39">
        <w:rPr>
          <w:rStyle w:val="apple-converted-space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 w:rsidRPr="00BB7E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BB7E39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ему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BB7E39" w:rsidR="00BB7E39">
        <w:rPr>
          <w:rFonts w:ascii="Times New Roman" w:eastAsia="Times New Roman" w:hAnsi="Times New Roman" w:cs="Times New Roman"/>
          <w:sz w:val="28"/>
          <w:szCs w:val="28"/>
        </w:rPr>
        <w:t>4000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BB7E39" w:rsidR="00BB7E39"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BB7E39" w:rsidR="00BB7E3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7E39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D522EC" w:rsidRPr="00BB7E39" w:rsidP="00BB7E39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39">
        <w:rPr>
          <w:rStyle w:val="s4"/>
          <w:rFonts w:ascii="Times New Roman" w:hAnsi="Times New Roman" w:cs="Times New Roman"/>
          <w:sz w:val="28"/>
          <w:szCs w:val="28"/>
        </w:rPr>
        <w:t>Реквизиты для уплаты штрафа:</w:t>
      </w:r>
      <w:r w:rsidRPr="00BB7E39">
        <w:rPr>
          <w:rFonts w:ascii="Times New Roman" w:hAnsi="Times New Roman" w:cs="Times New Roman"/>
          <w:sz w:val="28"/>
          <w:szCs w:val="28"/>
        </w:rPr>
        <w:t xml:space="preserve"> получатель </w:t>
      </w:r>
      <w:r w:rsidRPr="00BB7E39" w:rsidR="00BB7E39">
        <w:rPr>
          <w:rFonts w:ascii="Times New Roman" w:hAnsi="Times New Roman" w:cs="Times New Roman"/>
          <w:sz w:val="28"/>
          <w:szCs w:val="28"/>
        </w:rPr>
        <w:t>–</w:t>
      </w:r>
      <w:r w:rsidRPr="00BB7E39">
        <w:rPr>
          <w:rFonts w:ascii="Times New Roman" w:hAnsi="Times New Roman" w:cs="Times New Roman"/>
          <w:sz w:val="28"/>
          <w:szCs w:val="28"/>
        </w:rPr>
        <w:t xml:space="preserve"> </w:t>
      </w:r>
      <w:r w:rsidRPr="00BB7E39" w:rsidR="00BB7E39">
        <w:rPr>
          <w:rFonts w:ascii="Times New Roman" w:hAnsi="Times New Roman" w:cs="Times New Roman"/>
          <w:sz w:val="28"/>
          <w:szCs w:val="28"/>
        </w:rPr>
        <w:t>КБК 054 1 16 90010 01 6000 140; ОКТМО 60701000 УИН 0///; получатель: УФК по Ростовской области (Управление Министерства культуры Российской Федерации по Южному и Северо-Кавказскому федеральному округам Л/С 04581А66820); Отделение г. Росто</w:t>
      </w:r>
      <w:r w:rsidR="001C7D28">
        <w:rPr>
          <w:rFonts w:ascii="Times New Roman" w:hAnsi="Times New Roman" w:cs="Times New Roman"/>
          <w:sz w:val="28"/>
          <w:szCs w:val="28"/>
        </w:rPr>
        <w:t>в</w:t>
      </w:r>
      <w:r w:rsidRPr="00BB7E39" w:rsidR="00BB7E39">
        <w:rPr>
          <w:rFonts w:ascii="Times New Roman" w:hAnsi="Times New Roman" w:cs="Times New Roman"/>
          <w:sz w:val="28"/>
          <w:szCs w:val="28"/>
        </w:rPr>
        <w:t xml:space="preserve">-на-Дону; ИНН 6164284419; КПП 616401001; БИК 046015001, </w:t>
      </w:r>
      <w:r w:rsidRPr="00BB7E39" w:rsidR="00BB7E39">
        <w:rPr>
          <w:rFonts w:ascii="Times New Roman" w:hAnsi="Times New Roman" w:cs="Times New Roman"/>
          <w:sz w:val="28"/>
          <w:szCs w:val="28"/>
        </w:rPr>
        <w:t>расчетный счет 40101810303490010007; назначение платежа УИН 0/// «Прочие поступления от денежных взысканий (штрафов) и иных сумм в возмещении ущерба, зачисляемых в федеральный бюджет»</w:t>
      </w:r>
      <w:r w:rsidRPr="00BB7E39" w:rsidR="00BF0EB9">
        <w:rPr>
          <w:rFonts w:ascii="Times New Roman" w:hAnsi="Times New Roman" w:cs="Times New Roman"/>
          <w:sz w:val="28"/>
          <w:szCs w:val="28"/>
        </w:rPr>
        <w:t>.</w:t>
      </w:r>
    </w:p>
    <w:p w:rsidR="00BB7E39" w:rsidRPr="00BB7E39" w:rsidP="00BB7E39">
      <w:pPr>
        <w:pStyle w:val="NoSpacing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B7E39" w:rsidRPr="00BB7E39" w:rsidP="00BB7E39">
      <w:pPr>
        <w:pStyle w:val="NoSpacing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Доку</w:t>
      </w: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</w:t>
      </w: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их Партизан, 3а).</w:t>
      </w:r>
    </w:p>
    <w:p w:rsidR="00BB7E39" w:rsidRPr="00BB7E39" w:rsidP="00BB7E39">
      <w:pPr>
        <w:pStyle w:val="NoSpacing"/>
        <w:ind w:right="19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на срок до пятнадцати суток, либо обязательные работы на срок до пятидесяти часов.</w:t>
      </w:r>
    </w:p>
    <w:p w:rsidR="00D522EC" w:rsidRPr="00BB7E39" w:rsidP="00BB7E39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</w:t>
      </w:r>
      <w:r w:rsidRPr="00BB7E39">
        <w:rPr>
          <w:rFonts w:ascii="Times New Roman" w:eastAsia="Times New Roman" w:hAnsi="Times New Roman"/>
          <w:sz w:val="28"/>
          <w:szCs w:val="28"/>
          <w:lang w:eastAsia="ru-RU"/>
        </w:rPr>
        <w:t>нтральный район городского округа Симферополя) в течение 10 суток со дня вручения или получения копии постановления.</w:t>
      </w:r>
    </w:p>
    <w:p w:rsidR="00D522EC" w:rsidRPr="00BB7E39" w:rsidP="00BB7E3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7E39" w:rsidRPr="00BB7E39" w:rsidP="00BB7E39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22EC" w:rsidP="00BB7E39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BB7E39">
        <w:rPr>
          <w:rFonts w:ascii="Times New Roman" w:hAnsi="Times New Roman"/>
          <w:sz w:val="28"/>
          <w:szCs w:val="28"/>
        </w:rPr>
        <w:t>Мировой судья</w:t>
      </w:r>
      <w:r w:rsidRPr="00BB7E39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ab/>
      </w:r>
      <w:r w:rsidR="001C7D28">
        <w:rPr>
          <w:rFonts w:ascii="Times New Roman" w:hAnsi="Times New Roman"/>
          <w:sz w:val="28"/>
          <w:szCs w:val="28"/>
        </w:rPr>
        <w:tab/>
      </w:r>
      <w:r w:rsidR="001C7D28">
        <w:rPr>
          <w:rFonts w:ascii="Times New Roman" w:hAnsi="Times New Roman"/>
          <w:sz w:val="28"/>
          <w:szCs w:val="28"/>
        </w:rPr>
        <w:tab/>
      </w:r>
      <w:r w:rsidRPr="00BB7E39">
        <w:rPr>
          <w:rFonts w:ascii="Times New Roman" w:hAnsi="Times New Roman"/>
          <w:sz w:val="28"/>
          <w:szCs w:val="28"/>
        </w:rPr>
        <w:t xml:space="preserve">О.А. </w:t>
      </w:r>
      <w:r w:rsidRPr="00BB7E39">
        <w:rPr>
          <w:rFonts w:ascii="Times New Roman" w:hAnsi="Times New Roman"/>
          <w:sz w:val="28"/>
          <w:szCs w:val="28"/>
        </w:rPr>
        <w:t>Чепиль</w:t>
      </w:r>
    </w:p>
    <w:p w:rsidR="00D522EC" w:rsidRPr="00A23C84" w:rsidP="00B21558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B7E39">
      <w:headerReference w:type="default" r:id="rId9"/>
      <w:pgSz w:w="11906" w:h="16838"/>
      <w:pgMar w:top="1134" w:right="709" w:bottom="144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2B0C"/>
    <w:rsid w:val="00005197"/>
    <w:rsid w:val="00007C08"/>
    <w:rsid w:val="000658D4"/>
    <w:rsid w:val="000E7508"/>
    <w:rsid w:val="000F0DC9"/>
    <w:rsid w:val="001054EC"/>
    <w:rsid w:val="00130395"/>
    <w:rsid w:val="00150414"/>
    <w:rsid w:val="00162D53"/>
    <w:rsid w:val="00176EA2"/>
    <w:rsid w:val="001A5D43"/>
    <w:rsid w:val="001C7D28"/>
    <w:rsid w:val="00202FB6"/>
    <w:rsid w:val="002347C4"/>
    <w:rsid w:val="00240810"/>
    <w:rsid w:val="002562C7"/>
    <w:rsid w:val="00275212"/>
    <w:rsid w:val="002A2402"/>
    <w:rsid w:val="002B0141"/>
    <w:rsid w:val="002B2164"/>
    <w:rsid w:val="002D197C"/>
    <w:rsid w:val="00306620"/>
    <w:rsid w:val="00312A7C"/>
    <w:rsid w:val="003132D8"/>
    <w:rsid w:val="00314FAC"/>
    <w:rsid w:val="00326F70"/>
    <w:rsid w:val="00327C53"/>
    <w:rsid w:val="00344940"/>
    <w:rsid w:val="003E7962"/>
    <w:rsid w:val="004157E8"/>
    <w:rsid w:val="0049654A"/>
    <w:rsid w:val="004E134F"/>
    <w:rsid w:val="004F60F2"/>
    <w:rsid w:val="0050066F"/>
    <w:rsid w:val="0050222E"/>
    <w:rsid w:val="00511D30"/>
    <w:rsid w:val="005560A8"/>
    <w:rsid w:val="0057788C"/>
    <w:rsid w:val="00596D99"/>
    <w:rsid w:val="005B3600"/>
    <w:rsid w:val="005C028E"/>
    <w:rsid w:val="005C338A"/>
    <w:rsid w:val="005C3958"/>
    <w:rsid w:val="00607638"/>
    <w:rsid w:val="0064337E"/>
    <w:rsid w:val="006615F4"/>
    <w:rsid w:val="00696868"/>
    <w:rsid w:val="006A4B00"/>
    <w:rsid w:val="006C01E2"/>
    <w:rsid w:val="006C3F4B"/>
    <w:rsid w:val="006C7C5C"/>
    <w:rsid w:val="006E4D54"/>
    <w:rsid w:val="00706466"/>
    <w:rsid w:val="00715CA5"/>
    <w:rsid w:val="00735B20"/>
    <w:rsid w:val="00754AD6"/>
    <w:rsid w:val="007974B9"/>
    <w:rsid w:val="007E28CD"/>
    <w:rsid w:val="00816ADF"/>
    <w:rsid w:val="00830572"/>
    <w:rsid w:val="0086573A"/>
    <w:rsid w:val="008E19AE"/>
    <w:rsid w:val="009040B5"/>
    <w:rsid w:val="009276F4"/>
    <w:rsid w:val="009D6F17"/>
    <w:rsid w:val="009E1492"/>
    <w:rsid w:val="00A234DE"/>
    <w:rsid w:val="00A23C84"/>
    <w:rsid w:val="00A350BC"/>
    <w:rsid w:val="00A53E84"/>
    <w:rsid w:val="00A953A7"/>
    <w:rsid w:val="00AF57C5"/>
    <w:rsid w:val="00B04BC5"/>
    <w:rsid w:val="00B21558"/>
    <w:rsid w:val="00B30FBA"/>
    <w:rsid w:val="00B87593"/>
    <w:rsid w:val="00B90DFC"/>
    <w:rsid w:val="00B92882"/>
    <w:rsid w:val="00BB7E39"/>
    <w:rsid w:val="00BC39BC"/>
    <w:rsid w:val="00BD44D5"/>
    <w:rsid w:val="00BF0EB9"/>
    <w:rsid w:val="00C13694"/>
    <w:rsid w:val="00C37D8B"/>
    <w:rsid w:val="00C42F39"/>
    <w:rsid w:val="00C63ABA"/>
    <w:rsid w:val="00C80A36"/>
    <w:rsid w:val="00C9561F"/>
    <w:rsid w:val="00C96DF7"/>
    <w:rsid w:val="00CA09B5"/>
    <w:rsid w:val="00CA57DF"/>
    <w:rsid w:val="00CC057E"/>
    <w:rsid w:val="00D41CEA"/>
    <w:rsid w:val="00D4429C"/>
    <w:rsid w:val="00D522EC"/>
    <w:rsid w:val="00D60FDD"/>
    <w:rsid w:val="00DA781C"/>
    <w:rsid w:val="00DF088B"/>
    <w:rsid w:val="00E36A86"/>
    <w:rsid w:val="00E40338"/>
    <w:rsid w:val="00E5723A"/>
    <w:rsid w:val="00E612DD"/>
    <w:rsid w:val="00EA4A7E"/>
    <w:rsid w:val="00EC6EC1"/>
    <w:rsid w:val="00F166D6"/>
    <w:rsid w:val="00F410A2"/>
    <w:rsid w:val="00F72089"/>
    <w:rsid w:val="00FA336E"/>
    <w:rsid w:val="00FE142C"/>
    <w:rsid w:val="00FE2C95"/>
    <w:rsid w:val="00FE38EC"/>
    <w:rsid w:val="00FF11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uiPriority w:val="99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C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7D2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1B158A3F7CF19C567042C2052EDFDAAB4D4EF012B8A7C52A211CBC7F3E87E2D72DD43C8ECE6E2A8A68Q9Q" TargetMode="External" /><Relationship Id="rId6" Type="http://schemas.openxmlformats.org/officeDocument/2006/relationships/hyperlink" Target="consultantplus://offline/ref=1B158A3F7CF19C567042C2052EDFDAAB4D4EF012B8A7C52A211CBC7F3E87E2D72DD43C89CA6C62Q2Q" TargetMode="External" /><Relationship Id="rId7" Type="http://schemas.openxmlformats.org/officeDocument/2006/relationships/hyperlink" Target="consultantplus://offline/ref=B385A3D8B883327328F3827BDFAAFCBB652C9498F6CACAE972B24BB7B0B657B69195C2A9D639570ABAb4Q" TargetMode="External" /><Relationship Id="rId8" Type="http://schemas.openxmlformats.org/officeDocument/2006/relationships/hyperlink" Target="consultantplus://offline/ref=B385A3D8B883327328F3827BDFAAFCBB652C9498F6CACAE972B24BB7B0B657B69195C2ABD63BB5bAQ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