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D30" w:rsidRPr="00D63B70" w:rsidP="00D63B7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B7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D63B7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5C09A6">
        <w:rPr>
          <w:rFonts w:ascii="Times New Roman" w:eastAsia="Times New Roman" w:hAnsi="Times New Roman" w:cs="Times New Roman"/>
          <w:b/>
          <w:sz w:val="28"/>
          <w:szCs w:val="28"/>
        </w:rPr>
        <w:t>646</w:t>
      </w:r>
      <w:r w:rsidRPr="00D63B7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511D30" w:rsidRPr="00D63B70" w:rsidP="00D63B7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D63B70" w:rsidP="00D63B7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B7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2404" w:rsidRPr="00D63B70" w:rsidP="00D63B7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D63B70" w:rsidP="00D63B7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3B70" w:rsidR="00D2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B70" w:rsidR="00075517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2018 года  </w:t>
      </w:r>
      <w:r w:rsidRPr="00D63B70" w:rsidR="00F4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ab/>
      </w:r>
      <w:r w:rsidRPr="00D63B70">
        <w:rPr>
          <w:rFonts w:ascii="Times New Roman" w:eastAsia="Times New Roman" w:hAnsi="Times New Roman" w:cs="Times New Roman"/>
          <w:sz w:val="28"/>
          <w:szCs w:val="28"/>
        </w:rPr>
        <w:tab/>
      </w:r>
      <w:r w:rsidRPr="00D63B70">
        <w:rPr>
          <w:rFonts w:ascii="Times New Roman" w:eastAsia="Times New Roman" w:hAnsi="Times New Roman" w:cs="Times New Roman"/>
          <w:sz w:val="28"/>
          <w:szCs w:val="28"/>
        </w:rPr>
        <w:tab/>
      </w:r>
      <w:r w:rsidRPr="00D63B70">
        <w:rPr>
          <w:rFonts w:ascii="Times New Roman" w:eastAsia="Times New Roman" w:hAnsi="Times New Roman" w:cs="Times New Roman"/>
          <w:sz w:val="28"/>
          <w:szCs w:val="28"/>
        </w:rPr>
        <w:tab/>
      </w:r>
      <w:r w:rsidRPr="00D63B70" w:rsidR="00E6240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85F7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63B70" w:rsidR="00E6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63B70" w:rsidR="00F410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11D30" w:rsidRPr="00D63B70" w:rsidP="00D63B7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D63B70" w:rsidP="00D63B7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7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3B70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6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63B7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D63B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6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63B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D63B70" w:rsidP="00D63B7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D63B70" w:rsidP="00D63B70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D63B70" w:rsidR="0007551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Фирма «ТЭС»</w:t>
      </w:r>
      <w:r w:rsidRPr="00D63B70" w:rsidR="0007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Бейма</w:t>
      </w:r>
      <w:r>
        <w:rPr>
          <w:rFonts w:ascii="Times New Roman" w:hAnsi="Times New Roman" w:cs="Times New Roman"/>
          <w:sz w:val="28"/>
          <w:szCs w:val="28"/>
        </w:rPr>
        <w:t xml:space="preserve"> Сергея Геннадиевича</w:t>
      </w:r>
      <w:r w:rsidRPr="00D63B70">
        <w:rPr>
          <w:rFonts w:ascii="Times New Roman" w:hAnsi="Times New Roman" w:cs="Times New Roman"/>
          <w:sz w:val="28"/>
          <w:szCs w:val="28"/>
        </w:rPr>
        <w:t xml:space="preserve">,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D63B70" w:rsidP="00D63B70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D63B70" w:rsidP="00D63B7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D63B70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D63B70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B70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авонарушениях,</w:t>
      </w:r>
    </w:p>
    <w:p w:rsidR="00511D30" w:rsidRPr="00D63B70" w:rsidP="00D63B7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D63B70" w:rsidP="00D63B7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B7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36C17" w:rsidP="00E36C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Бейм С.Г.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являясь </w:t>
      </w:r>
      <w:r w:rsidRPr="005C09A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5C09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5C09A6">
        <w:rPr>
          <w:rFonts w:ascii="Times New Roman" w:hAnsi="Times New Roman" w:eastAsiaTheme="minorHAnsi" w:cs="Times New Roman"/>
          <w:sz w:val="28"/>
          <w:szCs w:val="28"/>
          <w:lang w:eastAsia="en-US"/>
        </w:rPr>
        <w:t>«Фирма «ТЭС»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выполнил в установленный срок, а именно до 13 сентября 2018 года,</w:t>
      </w:r>
      <w:r w:rsidRPr="00E36C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предписании №37дсп от 09.11.2017 г. требования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объектов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комплекса», утвержденных постановлением Правительства Российской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 от 05.05.2012 г. № 458 дсп, на объекте топливно-энергетического комплекса средней категории опасности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принадлежащег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 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«ТЭС» и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F6421" w:rsidP="001F6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="005C09A6">
        <w:rPr>
          <w:rFonts w:ascii="Times New Roman" w:hAnsi="Times New Roman" w:cs="Times New Roman"/>
          <w:sz w:val="28"/>
          <w:szCs w:val="28"/>
        </w:rPr>
        <w:t>Бейм С.Г.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</w:t>
      </w:r>
      <w:r w:rsidRPr="00D63B70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времени и месте рассмотрения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дела извещен надлежащим образом,</w:t>
      </w:r>
      <w:r w:rsidRPr="00D63B70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для представления его интересов направил защитника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="005C09A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F6421" w:rsidRPr="00663FC2" w:rsidP="001F6421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FC2">
        <w:rPr>
          <w:rFonts w:ascii="Times New Roman" w:eastAsia="Times New Roman" w:hAnsi="Times New Roman" w:cs="Times New Roman"/>
          <w:sz w:val="26"/>
          <w:szCs w:val="26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956F3" w:rsidP="00D63B7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Защитник </w:t>
      </w:r>
      <w:r w:rsidR="005C09A6">
        <w:rPr>
          <w:rFonts w:ascii="Times New Roman" w:hAnsi="Times New Roman" w:cs="Times New Roman"/>
          <w:sz w:val="28"/>
          <w:szCs w:val="28"/>
        </w:rPr>
        <w:t>Бейма С.Г.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</w:t>
      </w:r>
      <w:r w:rsidRPr="00D63B70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, действующи</w:t>
      </w:r>
      <w:r w:rsidRPr="00D63B70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>й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доверенности, вину в совершении правонарушения </w:t>
      </w:r>
      <w:r w:rsidR="001F64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должностным лицом – </w:t>
      </w:r>
      <w:r w:rsidR="005C09A6">
        <w:rPr>
          <w:rFonts w:ascii="Times New Roman" w:hAnsi="Times New Roman" w:cs="Times New Roman"/>
          <w:sz w:val="28"/>
          <w:szCs w:val="28"/>
        </w:rPr>
        <w:t>Бейм</w:t>
      </w:r>
      <w:r w:rsidR="0095639C">
        <w:rPr>
          <w:rFonts w:ascii="Times New Roman" w:hAnsi="Times New Roman" w:cs="Times New Roman"/>
          <w:sz w:val="28"/>
          <w:szCs w:val="28"/>
        </w:rPr>
        <w:t xml:space="preserve">ом </w:t>
      </w:r>
      <w:r w:rsidR="005C09A6">
        <w:rPr>
          <w:rFonts w:ascii="Times New Roman" w:hAnsi="Times New Roman" w:cs="Times New Roman"/>
          <w:sz w:val="28"/>
          <w:szCs w:val="28"/>
        </w:rPr>
        <w:t>С.Г.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признал</w:t>
      </w:r>
      <w:r w:rsidR="001F64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полном объеме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85266B">
        <w:rPr>
          <w:rFonts w:ascii="Times New Roman" w:hAnsi="Times New Roman" w:eastAsiaTheme="minorHAnsi" w:cs="Times New Roman"/>
          <w:sz w:val="28"/>
          <w:szCs w:val="28"/>
          <w:lang w:eastAsia="en-US"/>
        </w:rPr>
        <w:t>пояснив, что выявленные нарушения частично устранены, в настоящее время продолжаются работы по их устранению, впредь постараются не нарушать действующее законодательство</w:t>
      </w:r>
      <w:r w:rsidR="00467B4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8526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467B40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росил </w:t>
      </w:r>
      <w:r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ограничиться минимальным наказанием, предусмотренным санкцией ч. 1 ст. 19.5 КоАП РФ.</w:t>
      </w:r>
    </w:p>
    <w:p w:rsidR="00FA1DC9" w:rsidRPr="00D63B70" w:rsidP="00D63B7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Должностное лицо Федеральной службы войск национальной гвардии Российской Федерации – инспектор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в ходе судебного заседания подтвердила обстоятельства составленного в отношении </w:t>
      </w:r>
      <w:r>
        <w:rPr>
          <w:rFonts w:ascii="Times New Roman" w:hAnsi="Times New Roman" w:cs="Times New Roman"/>
          <w:sz w:val="28"/>
          <w:szCs w:val="28"/>
        </w:rPr>
        <w:t>Бейма С.Г.</w:t>
      </w:r>
      <w:r w:rsidRP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протокола, просила привлечь данное должностное лицо </w:t>
      </w:r>
      <w:r w:rsidRP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>к административной ответственности.</w:t>
      </w:r>
    </w:p>
    <w:p w:rsidR="000A3C94" w:rsidRPr="00D63B70" w:rsidP="00D6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70">
        <w:rPr>
          <w:rFonts w:ascii="Times New Roman" w:eastAsia="Times New Roman" w:hAnsi="Times New Roman" w:cs="Times New Roman"/>
          <w:sz w:val="28"/>
          <w:szCs w:val="28"/>
        </w:rPr>
        <w:t>Выслушав защитник</w:t>
      </w:r>
      <w:r w:rsidRPr="00D63B70" w:rsidR="00227C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C9">
        <w:rPr>
          <w:rFonts w:ascii="Times New Roman" w:hAnsi="Times New Roman" w:cs="Times New Roman"/>
          <w:sz w:val="28"/>
          <w:szCs w:val="28"/>
        </w:rPr>
        <w:t>Бейма С.Г.</w:t>
      </w:r>
      <w:r w:rsidRPr="00D63B70" w:rsidR="000B0830">
        <w:rPr>
          <w:rFonts w:ascii="Times New Roman" w:hAnsi="Times New Roman" w:cs="Times New Roman"/>
          <w:sz w:val="28"/>
          <w:szCs w:val="28"/>
        </w:rPr>
        <w:t xml:space="preserve"> </w:t>
      </w:r>
      <w:r w:rsidR="00FA1DC9">
        <w:rPr>
          <w:rFonts w:ascii="Times New Roman" w:hAnsi="Times New Roman" w:cs="Times New Roman"/>
          <w:sz w:val="28"/>
          <w:szCs w:val="28"/>
        </w:rPr>
        <w:t>–</w:t>
      </w:r>
      <w:r w:rsidRPr="00D63B70" w:rsidR="000B0830">
        <w:rPr>
          <w:rFonts w:ascii="Times New Roman" w:hAnsi="Times New Roman" w:cs="Times New Roman"/>
          <w:sz w:val="28"/>
          <w:szCs w:val="28"/>
        </w:rPr>
        <w:t xml:space="preserve">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DC9" w:rsidR="00FA1DC9">
        <w:t xml:space="preserve"> </w:t>
      </w:r>
      <w:r w:rsidR="00FA1DC9">
        <w:t xml:space="preserve"> </w:t>
      </w:r>
      <w:r w:rsidRPr="00FA1DC9" w:rsidR="00FA1DC9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Федеральной службы войск национальной гвардии Российской Федерации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оценив представленные доказательства в их сов</w:t>
      </w:r>
      <w:r w:rsidRPr="00D63B70">
        <w:rPr>
          <w:rFonts w:ascii="Times New Roman" w:eastAsia="Times New Roman" w:hAnsi="Times New Roman" w:cs="Times New Roman"/>
          <w:sz w:val="28"/>
          <w:szCs w:val="28"/>
        </w:rPr>
        <w:t>окупности, суд приходит к следующим выводам.</w:t>
      </w:r>
    </w:p>
    <w:p w:rsidR="00B034CE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ч.1 ст. 19.5 КоАП РФ наступает за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6945A7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данн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 </w:t>
      </w:r>
    </w:p>
    <w:p w:rsidR="00B034CE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правовые основы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полномочия федеральных органов государственной власти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кса, установлены Федеральным законом от 21 июля 2011 года N 256-ФЗ "О безопасности топливно-энергетического комплекса" (далее - Федеральный закон №256-ФЗ).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1 статьи 7 названного выше Федерального закона №256-ФЗ требования обеспечения безопас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нные требования являются обязательными для выполнения субъектами топливно-энергетического комплекса.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части 2 статьи 12 данного Федерального закона №256-ФЗ субъекты топливно-энергетического комплекса обязаны выполнять предписания, постановления должн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остных лиц уполномоченных органов исполнительной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власти об устранении нарушений требований обеспечения безопасности объектов топливно-энергетического комплекса.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положений Федерального закона от 21.07.2011 года №256-ФЗ Постановлением Прав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соответствии с пунктом 1 Правил от 5 мая 2012 года данные Правила устанавливают требования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14 статьи 2 Федерального закона №256-ФЗ предусмотрено, что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227C8C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4 статьи 6 Федерального закона №256-ФЗ федеральный государственный контроль (надзор) за обеспечением безопа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сности объектов топливно-энергетического комплекса осуществляется в порядке,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лномоченные федеральные органы исполнительной власти).</w:t>
      </w:r>
    </w:p>
    <w:p w:rsidR="000A3C94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РФ от 20 октября 2016 года № 1067 утверждены Правила осуществления Федеральной службой войск национальной гвардии Российской Федерации и ее территориальными органами федера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льного государственного контроля (надзора) за обеспечением безопасности объектов топливно-энергетического комплекса.</w:t>
      </w:r>
    </w:p>
    <w:p w:rsidR="00227C8C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расположенная по адресу: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63B70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является 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</w:t>
      </w:r>
      <w:r w:rsidRPr="00D63B70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 и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принадлежит ООО «Фирма ТЭС»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которого является </w:t>
      </w:r>
      <w:r w:rsidR="008C6339">
        <w:rPr>
          <w:rFonts w:ascii="Times New Roman" w:hAnsi="Times New Roman" w:cs="Times New Roman"/>
          <w:sz w:val="28"/>
          <w:szCs w:val="28"/>
        </w:rPr>
        <w:t>Бейм С.Г.</w:t>
      </w:r>
    </w:p>
    <w:p w:rsidR="00EC6B6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Указанный объект вкл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ючен в реестр объектов топливно-энергетического комплекса Республики Крым с присвоенной средней категории опасности. </w:t>
      </w:r>
    </w:p>
    <w:p w:rsidR="00FF21D4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</w:t>
      </w:r>
      <w:r w:rsidRPr="00FF21D4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проведения 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внеплановой выездной проверки объекта топливно-энергетического комплекса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принадлежащего </w:t>
      </w:r>
      <w:r w:rsidRPr="008C633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«Фирма ТЭС»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F21D4">
        <w:rPr>
          <w:rFonts w:ascii="Times New Roman" w:hAnsi="Times New Roman" w:cs="Times New Roman"/>
          <w:sz w:val="28"/>
          <w:szCs w:val="28"/>
        </w:rPr>
        <w:t xml:space="preserve">и 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выявлено, что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 </w:t>
      </w:r>
      <w:r w:rsidRPr="008C633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«Фирма ТЭС»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C6339">
        <w:rPr>
          <w:rFonts w:ascii="Times New Roman" w:hAnsi="Times New Roman" w:cs="Times New Roman"/>
          <w:sz w:val="28"/>
          <w:szCs w:val="28"/>
        </w:rPr>
        <w:t>Бейм С.Г.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установленный срок, а именно до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13 сентября 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2018 года, требования 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Предписания от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ноября 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№ </w:t>
      </w:r>
      <w:r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37дсп</w:t>
      </w:r>
      <w:r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F21D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устранении нарушений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21.07.2011 № 256-ФЗ «О безопасности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объектов топливно-энергетического комплекса», «Правил по обеспечению безопасности и антитеррористической защищенности объектов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топливно-энергетического 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омплекса», утвержденных постановлением Правительства Российской Федерации от 05.05.2012 г. № 458 дсп, а именно: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выполнен п. 1 Предписания в части обеспечения физической защиты: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Досмотровые мероприятия при проходе на критические элементы объекта сотрудниками охраны не осуществляются (нарушение пп. «а» п. 3 приложения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 1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выполнен п. 2 Предписания в части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инженерно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-технических средств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защиты: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Оконные и дверные проемы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пленок), защитными металлическими оконными конструкциями для уязвимых мест (жалюзи, ставни, решет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ки, сетки и др.) и стальных или деревянных конструкций с вставками из бронестекла или защитного остекления (нарушение п. 103 Правил). Иные посты охраны на объекте отсутствуют (нарушение п. 11, 12 Правил). Входная дверь совмещенного контрольно-пропускного п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ункта не оборудована смотровым глазком (нарушение п. 116 Правил).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объекте отсутствует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емым с рабочего места оператора (нарушение п. 114 Правил). На совмещенном контрольно-пропускном не оборудована комната досмотра, отсутствуют камеры для личных вещей посетителей объекта (нарушение п. 118 Правил). Не оборудованы контрольно-пропускные пункты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(нарушение п. 101, 126 Правил). При подъезде к объекту не установлены дорожные запрещающие знаки (нарушение п. 137 Правил). На контрольно-пропускных пунктах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для автомобильного и железнодорожного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транспорта отсутствуют досмотровые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площадки (нарушение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п. 129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-136, 139 Правил). На подъезде к контрольно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-пропускному пункту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установлены противотаранные заграждения, предназ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наченные для остановки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автотранспортных средств, выполненное в виде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железобетонного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цоколя основного ограждения, барьера из железобетонны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х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бло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ков, специального шлагбаума, а также другой конструкции, создающей. гарантированное препятствие переезду или пролому (нарушение п. 138, 14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5 П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равил).</w:t>
      </w:r>
    </w:p>
    <w:p w:rsid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Ворота контрольно-пропускных пунктов не оборудованы электромеханическими приводами управления (нарушение п.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141, 15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Досмотровая площадка для железнодорожного транспорта на объекте отсутствуют, основные (вспомогательные) ворота (шлагбаумы), приставные лестницы, в том числе передвижные вышки и стремянки отсутствуют (нарушение п. 151, 152, 157 Правил). Н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объекте отсутствуют спаренные тормозные башмаки для железнодорожного транспорта, которые предназначены для предотвращения несанкционированного проезда при досмотре железнодорожного состава (нарушение п. 158 Правил). На контрольно-пропускном пункте для же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лезнодорожного транспорта не установлен семафор (нарушение пп. «в» п. 3 Приложения № 1 Правил).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На территории объекта отсутствуют наблюдательные вышки (кирпичные, деревянные, металлические или из сборного железобетона) установленные для увеличения и лучшег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оружием, и оборудованной системой охранной телевизионной (нарушение п. 99 Правил).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основном ограждении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частично установлено верхнее дополнительное ограждение, выполненное в виде козырька из колючей проволоки «Егоза», имеется часть основного ограждения без верхнего дополнительного ограждения (нарушение п. 81, 82 Правил). В основном ограждении объекта имеютс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я повреждения, не запираемые калитки и ворота (нарушение п. 70 Правил). Дополнительное ограждение не установлено на крышах и стенах зданий являющихся составной частью периметра (нарушение п. 85 Правил). Под основным ограждением не установлено нижнее дополн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ительное ограждение, углублённое в грунт на глубину не менее 0,5 м выполненное в виде бетонированного цоколя или сварной решётки с размером ячейки не более 15 сантиметров (нарушение п. 81, 83, 84 Правил). С внешней стороны основного ограждения не установле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но просматриваемое предупредительное ограждение (нарушение п. 86 Правил, пп. «в» п. 1 Приложения № 1 Правил). Для обозначения границ участков постов не установлены разграничительные знаки, установка запрещающих знаков при подъезде к территории объекта в по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лной мере не реализована (нарушение п. 90,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104,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106,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108 Правил).</w:t>
      </w:r>
    </w:p>
    <w:p w:rsidR="00245B5C" w:rsidRPr="00245B5C" w:rsidP="00245B5C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Предупредительным ограждением, выполненным из металлической сетки или прутков, армированной колючей ленты, не оборудованы критические элементы (высота ограждение составляет 1,5-2м) (нарушени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е п. 87, 88 Правил). Не определена запретная зона и не оборудована зона (нарушение п. 71, 95-97 Правил).</w:t>
      </w:r>
    </w:p>
    <w:p w:rsidR="00245B5C" w:rsidRPr="00245B5C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выполнен п. 3 Предписания в части организации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системы о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хранной сигнализации: 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Система охранной сигнализации — на объекте не реализова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на, не сопряж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ена с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другими системами комплекса инженерно-технических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охраны - 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системой охранной телевизионной, системой сбора и обработки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информации</w:t>
      </w:r>
      <w:r w:rsidRPr="00245B5C">
        <w:rPr>
          <w:rFonts w:ascii="Times New Roman" w:hAnsi="Times New Roman" w:eastAsiaTheme="minorHAnsi" w:cs="Times New Roman"/>
          <w:sz w:val="28"/>
          <w:szCs w:val="28"/>
          <w:lang w:eastAsia="en-US"/>
        </w:rPr>
        <w:t>, системой контроля и управления доступом (нарушение п. 170-185 Правил). Периметральными средствами обнаружения или охран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ными извещателями не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оборудованы критические элементы и периметр объекта в целом (нарушение п. 177 Правил, п. 5 Приложения № 1 Правил).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Входы на контрольно-пропускные пункты не оборудованы средствами охранной сигнализации, которые выдают извещения о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тревоге при попытке их вскрытия и разрушения (нарушение п. 112 Правил).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Стационарные кнопки для подачи извещения о тревоге с выводом на объектовый пункт централизованной охраны объекта отсутствует (нарушение пп. «а» п. 7 приложения № 1 к Правилам).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полнен п. 4 Предписания в части реализации системы сбора и обработки информации: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Система сбора и обработки информации на объекте отсутствует (нарушение п. 186-198 Правил). Отсутствует пункт централизованной охраны объекта (нарушение п. 14 приложения № 1 к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Правилам, п. 199 - 203 Правил).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выполнен п. 5 Предписания в части реализации системы контроля и управления доступом: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проведении проверки установлено, что система контроля и управления доступом на критических элементах объекта отсутствует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(нарушение п. 204 Правил).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выполнен п. 6. Предписания в части обеспечения в полном объеме специальными техническими средствами досмотра контрольно-пропускные пункты: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Обнаруживатели взрывчатых веществ, положенных для объектов средней категории опасност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и, отсутствуют (нарушение пп. «д» п. 214, 226 Правил, пп. «б», п. 3 Приложения № 1 Правил).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выполнен п. 7 Предписания в части приведения в соответствие охранного освещения: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Охранное освещение объекта в полной мере не реализовано (нарушение п. 247-258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Правил).</w:t>
      </w:r>
    </w:p>
    <w:p w:rsidR="00245B5C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выполнен п. 8 Предписания в части приведения в со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ответствие систему оперативной связи:</w:t>
      </w:r>
    </w:p>
    <w:p w:rsid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объекте отсутствует стационарные радиостанции (нарушение пп. «а», «в» п. 10 Приложения к Правилам).</w:t>
      </w:r>
    </w:p>
    <w:p w:rsid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 не выполнен п. 9 Предписания в части наличия взрыв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озащитных средств:</w:t>
      </w:r>
    </w:p>
    <w:p w:rsid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объекте отсутствуют взрывозащитные средства (нарушение п. 16 Приложения № 1 к Правилам).</w:t>
      </w:r>
    </w:p>
    <w:p w:rsidR="000A5FD4" w:rsidRPr="000A5FD4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выполнен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10 Предписания в части проведения актуализации паспорта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безопасности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топливно-энергетического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комплекса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E19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«Фирма «ТЭС»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:</w:t>
      </w:r>
    </w:p>
    <w:p w:rsidR="00245B5C" w:rsidP="000A5FD4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Актуализация паспорта безопасности в связи с изменением компонентов организации охраны и защиты объекта с целью исполнения ч. 7 ст. 8 Федерального закона от 21.07.2011 № 256-ФЗ «О безопасности объектов топливно-энергетического</w:t>
      </w:r>
      <w:r w:rsidRP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комплекса», пп. «е» п. 3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 на момент проведения внеплановой проверки не проведена.</w:t>
      </w:r>
    </w:p>
    <w:p w:rsidR="004B4025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.10.2018 г. должностным лицом Управления Росгвардии по Республике Крым составлен протокол об административном правонарушении, предусмотренном 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Российской Федерации об административном правонарушении в отношении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0A5FD4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0A5FD4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«Фирма «ТЭС»  Беймом С.Г.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</w:t>
      </w:r>
      <w:r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ции об административном правонарушении подтверждается:  протоколом № 91 ПГК 009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091018</w:t>
      </w:r>
      <w:r w:rsidRPr="00D63B70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00001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D63B70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административном правонарушении от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 (л.д. 1-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распоряжения от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 №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649 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-1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 копией акта проверки №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41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дсп/2018 от 2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.2018 г. (л.д. 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21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30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акта проверки №39дсп от 09.11.2017 г. (л.д. 42-60),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предписания №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37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дсп от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.2017 г. (л.д.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61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65</w:t>
      </w:r>
      <w:r w:rsidRPr="00D63B70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выпиской из ЕГРЮЛ (л.д. 97-139), </w:t>
      </w:r>
      <w:r w:rsidRPr="00D63B70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Устава ООО «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Фирма «ТЭС» </w:t>
      </w:r>
      <w:r w:rsidRPr="00D63B70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140</w:t>
      </w:r>
      <w:r w:rsidRPr="00D63B70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D63B70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D63B70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,  копией приказа №258 от 08.09.2015 г. (л.д. 159)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длежащим исполнением своих служебных обязанностей.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ки организаций несут административную ответственность как должностные лица.</w:t>
      </w:r>
    </w:p>
    <w:p w:rsidR="0058081B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081B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составлении протокола об административном правонару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шении нарушены не были.         </w:t>
      </w:r>
    </w:p>
    <w:p w:rsidR="0065533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D63B70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ст. 26.11 КоАП РФ, прихожу к выводу о виновности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 С.Г.</w:t>
      </w:r>
      <w:r w:rsidRPr="00D63B70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как должностного лица - </w:t>
      </w:r>
      <w:r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совершении админист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ративного правонарушения, предусмотренного 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081B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определен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президенту ООО «Фирма «ТЭС»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Бейму С.Г.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5533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</w:t>
      </w:r>
      <w:r w:rsidRPr="00D63B70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1A68C3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55330" w:rsidRPr="00D63B70" w:rsidP="00D63B70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</w:t>
      </w:r>
      <w:r w:rsidRPr="0095639C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Общества с ограниченной ответственностью «Фирма «ТЭС» Бейма Сергея Геннадиевича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виновным в совершении правонарушения, предусмотренного  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ему</w:t>
      </w:r>
      <w:r w:rsidRPr="00D63B70" w:rsidR="00732EA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административное наказание в виде административного штрафа в размере 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1000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(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одна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</w:t>
      </w:r>
      <w:r w:rsidRPr="00D63B70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) рублей.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получатель - Управление Росгвардии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Крым, л/с 04751D20600, ИНН 9102219091, КПП 910201001, ОКТМО 35701000, Банк получателя - </w:t>
      </w:r>
      <w:r w:rsidRPr="00D63B70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тделение Республик</w:t>
      </w:r>
      <w:r w:rsidRPr="00D63B70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Крым; р/сч 40101810335100010001,</w:t>
      </w:r>
      <w:r w:rsidRPr="00D63B70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БИК 043510001, КБК 180 1 16 90010 01 6000 140; назначение платежа: административный штраф, постанов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ление № 05-0</w:t>
      </w:r>
      <w:r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646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/16/2018 от </w:t>
      </w:r>
      <w:r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D63B70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отсрочки или рассрочки, предусмотренных статьей 31.5 КоАП РФ.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</w:t>
      </w:r>
      <w:r w:rsidRP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55330" w:rsidRPr="00D63B70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5266B" w:rsidP="008526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467B40"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 О.А. </w:t>
      </w:r>
      <w:r w:rsidRPr="00710493">
        <w:rPr>
          <w:rFonts w:ascii="Times New Roman" w:hAnsi="Times New Roman" w:cs="Times New Roman"/>
          <w:sz w:val="28"/>
          <w:szCs w:val="28"/>
        </w:rPr>
        <w:t>Чепиль</w:t>
      </w:r>
    </w:p>
    <w:sectPr w:rsidSect="0095639C">
      <w:headerReference w:type="default" r:id="rId4"/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17938"/>
    <w:rsid w:val="00036C5E"/>
    <w:rsid w:val="0007517B"/>
    <w:rsid w:val="00075517"/>
    <w:rsid w:val="000764BB"/>
    <w:rsid w:val="000A3C94"/>
    <w:rsid w:val="000A5FD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51524"/>
    <w:rsid w:val="00156AF7"/>
    <w:rsid w:val="00162D53"/>
    <w:rsid w:val="00183A70"/>
    <w:rsid w:val="00195A96"/>
    <w:rsid w:val="001A68C3"/>
    <w:rsid w:val="001B2C18"/>
    <w:rsid w:val="001F6421"/>
    <w:rsid w:val="00227C8C"/>
    <w:rsid w:val="00240810"/>
    <w:rsid w:val="00245B5C"/>
    <w:rsid w:val="00255381"/>
    <w:rsid w:val="002562C7"/>
    <w:rsid w:val="00275212"/>
    <w:rsid w:val="002A413F"/>
    <w:rsid w:val="002A7625"/>
    <w:rsid w:val="002B0141"/>
    <w:rsid w:val="002B2164"/>
    <w:rsid w:val="002D197C"/>
    <w:rsid w:val="002E6C2A"/>
    <w:rsid w:val="002F14B0"/>
    <w:rsid w:val="00306620"/>
    <w:rsid w:val="00312A7C"/>
    <w:rsid w:val="00314FAC"/>
    <w:rsid w:val="00320BBD"/>
    <w:rsid w:val="00326F70"/>
    <w:rsid w:val="003827F2"/>
    <w:rsid w:val="003E7962"/>
    <w:rsid w:val="003F33D1"/>
    <w:rsid w:val="004157E8"/>
    <w:rsid w:val="00467B40"/>
    <w:rsid w:val="0049654A"/>
    <w:rsid w:val="004B4025"/>
    <w:rsid w:val="004E134F"/>
    <w:rsid w:val="004F60F2"/>
    <w:rsid w:val="0050066F"/>
    <w:rsid w:val="0050222E"/>
    <w:rsid w:val="00511D30"/>
    <w:rsid w:val="00522C1F"/>
    <w:rsid w:val="005560A8"/>
    <w:rsid w:val="0057788C"/>
    <w:rsid w:val="0058081B"/>
    <w:rsid w:val="00596D99"/>
    <w:rsid w:val="005B3600"/>
    <w:rsid w:val="005C028E"/>
    <w:rsid w:val="005C09A6"/>
    <w:rsid w:val="006068AF"/>
    <w:rsid w:val="00607638"/>
    <w:rsid w:val="0064337E"/>
    <w:rsid w:val="00652D11"/>
    <w:rsid w:val="00655330"/>
    <w:rsid w:val="006615F4"/>
    <w:rsid w:val="00663FC2"/>
    <w:rsid w:val="006909C6"/>
    <w:rsid w:val="006945A7"/>
    <w:rsid w:val="00696868"/>
    <w:rsid w:val="006A4B00"/>
    <w:rsid w:val="006B328B"/>
    <w:rsid w:val="006B726E"/>
    <w:rsid w:val="006C01E2"/>
    <w:rsid w:val="006C7750"/>
    <w:rsid w:val="006C7C5C"/>
    <w:rsid w:val="006D6275"/>
    <w:rsid w:val="006E1936"/>
    <w:rsid w:val="006E4D54"/>
    <w:rsid w:val="006E5E49"/>
    <w:rsid w:val="006E6645"/>
    <w:rsid w:val="006F357C"/>
    <w:rsid w:val="007065AC"/>
    <w:rsid w:val="00710493"/>
    <w:rsid w:val="00727B9C"/>
    <w:rsid w:val="00732EAD"/>
    <w:rsid w:val="00735B20"/>
    <w:rsid w:val="007423DD"/>
    <w:rsid w:val="00754AD6"/>
    <w:rsid w:val="00754C73"/>
    <w:rsid w:val="007974B9"/>
    <w:rsid w:val="007A6DFB"/>
    <w:rsid w:val="007B406F"/>
    <w:rsid w:val="007B7A55"/>
    <w:rsid w:val="007E28CD"/>
    <w:rsid w:val="007E6D19"/>
    <w:rsid w:val="00816ADF"/>
    <w:rsid w:val="00830572"/>
    <w:rsid w:val="00836605"/>
    <w:rsid w:val="00847DC8"/>
    <w:rsid w:val="0085266B"/>
    <w:rsid w:val="0086573A"/>
    <w:rsid w:val="008A7859"/>
    <w:rsid w:val="008C6339"/>
    <w:rsid w:val="008E19AE"/>
    <w:rsid w:val="00902F98"/>
    <w:rsid w:val="009040B5"/>
    <w:rsid w:val="00912454"/>
    <w:rsid w:val="009276F4"/>
    <w:rsid w:val="0095639C"/>
    <w:rsid w:val="00970F27"/>
    <w:rsid w:val="009B743F"/>
    <w:rsid w:val="009D6F17"/>
    <w:rsid w:val="009E1492"/>
    <w:rsid w:val="00A127F4"/>
    <w:rsid w:val="00A234DE"/>
    <w:rsid w:val="00A44ED1"/>
    <w:rsid w:val="00A65C61"/>
    <w:rsid w:val="00A84324"/>
    <w:rsid w:val="00A91337"/>
    <w:rsid w:val="00A953A7"/>
    <w:rsid w:val="00AD2B3D"/>
    <w:rsid w:val="00AF57C5"/>
    <w:rsid w:val="00B034CE"/>
    <w:rsid w:val="00B21558"/>
    <w:rsid w:val="00B72293"/>
    <w:rsid w:val="00B92882"/>
    <w:rsid w:val="00BA2359"/>
    <w:rsid w:val="00BB33D5"/>
    <w:rsid w:val="00BC0799"/>
    <w:rsid w:val="00BC39BC"/>
    <w:rsid w:val="00BD44D5"/>
    <w:rsid w:val="00BF0C6B"/>
    <w:rsid w:val="00BF0EB9"/>
    <w:rsid w:val="00C13694"/>
    <w:rsid w:val="00C37D8B"/>
    <w:rsid w:val="00C42F39"/>
    <w:rsid w:val="00C73938"/>
    <w:rsid w:val="00C75BB9"/>
    <w:rsid w:val="00C80A36"/>
    <w:rsid w:val="00C9561F"/>
    <w:rsid w:val="00C96DF7"/>
    <w:rsid w:val="00CA09B5"/>
    <w:rsid w:val="00CA57DF"/>
    <w:rsid w:val="00CC057E"/>
    <w:rsid w:val="00CD062A"/>
    <w:rsid w:val="00D21727"/>
    <w:rsid w:val="00D41CEA"/>
    <w:rsid w:val="00D4596D"/>
    <w:rsid w:val="00D522EC"/>
    <w:rsid w:val="00D53118"/>
    <w:rsid w:val="00D60FDD"/>
    <w:rsid w:val="00D63B70"/>
    <w:rsid w:val="00D93580"/>
    <w:rsid w:val="00D956F3"/>
    <w:rsid w:val="00DA781C"/>
    <w:rsid w:val="00DE5993"/>
    <w:rsid w:val="00DF088B"/>
    <w:rsid w:val="00E07F74"/>
    <w:rsid w:val="00E36C17"/>
    <w:rsid w:val="00E5723A"/>
    <w:rsid w:val="00E612DD"/>
    <w:rsid w:val="00E62404"/>
    <w:rsid w:val="00E83867"/>
    <w:rsid w:val="00EA4A7E"/>
    <w:rsid w:val="00EB6EA4"/>
    <w:rsid w:val="00EB79BF"/>
    <w:rsid w:val="00EC6B60"/>
    <w:rsid w:val="00EC6EC1"/>
    <w:rsid w:val="00F02A07"/>
    <w:rsid w:val="00F1247F"/>
    <w:rsid w:val="00F410A2"/>
    <w:rsid w:val="00F450D7"/>
    <w:rsid w:val="00F4755B"/>
    <w:rsid w:val="00F664AB"/>
    <w:rsid w:val="00F72089"/>
    <w:rsid w:val="00F85F77"/>
    <w:rsid w:val="00FA1DC9"/>
    <w:rsid w:val="00FA6436"/>
    <w:rsid w:val="00FC5350"/>
    <w:rsid w:val="00FE142C"/>
    <w:rsid w:val="00FE2C95"/>
    <w:rsid w:val="00FE38EC"/>
    <w:rsid w:val="00FF1180"/>
    <w:rsid w:val="00FF21D4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