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2F46" w:rsidP="0021233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33D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21233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1233D" w:rsidR="00F3076D">
        <w:rPr>
          <w:rFonts w:ascii="Times New Roman" w:eastAsia="Times New Roman" w:hAnsi="Times New Roman" w:cs="Times New Roman"/>
          <w:b/>
          <w:sz w:val="28"/>
          <w:szCs w:val="28"/>
        </w:rPr>
        <w:t>687</w:t>
      </w:r>
      <w:r w:rsidRPr="0021233D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511D30" w:rsidRPr="0021233D" w:rsidP="0021233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33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2404" w:rsidRPr="0021233D" w:rsidP="0021233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1233D" w:rsidR="00D2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2018 года  </w:t>
      </w:r>
      <w:r w:rsidRPr="0021233D" w:rsidR="00F4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ab/>
      </w:r>
      <w:r w:rsidRPr="0021233D">
        <w:rPr>
          <w:rFonts w:ascii="Times New Roman" w:eastAsia="Times New Roman" w:hAnsi="Times New Roman" w:cs="Times New Roman"/>
          <w:sz w:val="28"/>
          <w:szCs w:val="28"/>
        </w:rPr>
        <w:tab/>
      </w:r>
      <w:r w:rsidRPr="0021233D">
        <w:rPr>
          <w:rFonts w:ascii="Times New Roman" w:eastAsia="Times New Roman" w:hAnsi="Times New Roman" w:cs="Times New Roman"/>
          <w:sz w:val="28"/>
          <w:szCs w:val="28"/>
        </w:rPr>
        <w:tab/>
      </w:r>
      <w:r w:rsidRPr="0021233D">
        <w:rPr>
          <w:rFonts w:ascii="Times New Roman" w:eastAsia="Times New Roman" w:hAnsi="Times New Roman" w:cs="Times New Roman"/>
          <w:sz w:val="28"/>
          <w:szCs w:val="28"/>
        </w:rPr>
        <w:tab/>
      </w:r>
      <w:r w:rsidRPr="0021233D" w:rsidR="00E6240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1233D" w:rsidR="00F85F7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233D" w:rsidR="00E6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1233D" w:rsidR="00F410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11D30" w:rsidRPr="0021233D" w:rsidP="0021233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3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233D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12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1233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2123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12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1233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21233D" w:rsidP="0021233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1233D" w:rsidP="0021233D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3D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21233D" w:rsidR="0007551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1233D">
        <w:rPr>
          <w:rFonts w:ascii="Times New Roman" w:hAnsi="Times New Roman" w:cs="Times New Roman"/>
          <w:sz w:val="28"/>
          <w:szCs w:val="28"/>
        </w:rPr>
        <w:t>Фирма «ТЭС»</w:t>
      </w:r>
      <w:r w:rsidRPr="0021233D" w:rsidR="00075517">
        <w:rPr>
          <w:rFonts w:ascii="Times New Roman" w:hAnsi="Times New Roman" w:cs="Times New Roman"/>
          <w:sz w:val="28"/>
          <w:szCs w:val="28"/>
        </w:rPr>
        <w:t xml:space="preserve"> </w:t>
      </w:r>
      <w:r w:rsidRPr="0021233D">
        <w:rPr>
          <w:rFonts w:ascii="Times New Roman" w:hAnsi="Times New Roman" w:cs="Times New Roman"/>
          <w:sz w:val="28"/>
          <w:szCs w:val="28"/>
        </w:rPr>
        <w:t>Бейма</w:t>
      </w:r>
      <w:r w:rsidRPr="0021233D">
        <w:rPr>
          <w:rFonts w:ascii="Times New Roman" w:hAnsi="Times New Roman" w:cs="Times New Roman"/>
          <w:sz w:val="28"/>
          <w:szCs w:val="28"/>
        </w:rPr>
        <w:t xml:space="preserve"> Сергея Геннадиевича, </w:t>
      </w:r>
      <w:r w:rsidR="00223D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21233D" w:rsidP="0021233D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21233D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21233D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233D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ушениях,</w:t>
      </w:r>
    </w:p>
    <w:p w:rsidR="00511D30" w:rsidRPr="0021233D" w:rsidP="0021233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1233D" w:rsidP="0021233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33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36C17" w:rsidRPr="0021233D" w:rsidP="0021233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cs="Times New Roman"/>
          <w:sz w:val="28"/>
          <w:szCs w:val="28"/>
        </w:rPr>
        <w:t>Бейм С.Г.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, являясь президентом ООО «Фирма «ТЭС»</w:t>
      </w:r>
      <w:r w:rsidRPr="0021233D">
        <w:rPr>
          <w:rFonts w:ascii="Times New Roman" w:hAnsi="Times New Roman" w:cs="Times New Roman"/>
          <w:sz w:val="28"/>
          <w:szCs w:val="28"/>
        </w:rPr>
        <w:t xml:space="preserve">, 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223D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не выполнил в установленный срок, а именно до 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сентября 2018 года, указанные в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предписании №3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дсп от 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.11.2017 г. требования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объектов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комплекса», утвержденных постановлением Правительства Российской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 от 05.05.2012 г. № 458 дсп, на объекте топливно-энергетического комплекса средней категории опасности «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Бахчисарайская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нефтебаза» принадлежащег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 ООО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«ТЭС» и расположенного по адресу: </w:t>
      </w:r>
      <w:r w:rsidR="00223D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F6421" w:rsidRPr="0021233D" w:rsidP="00212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21233D" w:rsidR="005C09A6">
        <w:rPr>
          <w:rFonts w:ascii="Times New Roman" w:hAnsi="Times New Roman" w:cs="Times New Roman"/>
          <w:sz w:val="28"/>
          <w:szCs w:val="28"/>
        </w:rPr>
        <w:t>Бейм С.Г.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</w:t>
      </w:r>
      <w:r w:rsidRPr="0021233D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времени и месте рассмотрения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дела извещен надлежащим образом,</w:t>
      </w:r>
      <w:r w:rsidRPr="0021233D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62F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подал заявление о рассмотрении дела в его отсутствие, при назначении наказания просит учесть, что вину признает, в совершении административного правонарушения раскаивается и обязуется исправиться. </w:t>
      </w:r>
    </w:p>
    <w:p w:rsidR="001F6421" w:rsidRPr="0021233D" w:rsidP="00212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3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ый материал в отсутствие лица, в отношении которого возбуждено административное дело, на основании ч. 2 ст.25.1 КоАП РФ.</w:t>
      </w:r>
    </w:p>
    <w:p w:rsidR="000A3C94" w:rsidRPr="0021233D" w:rsidP="00212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233D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B034CE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ственность по ч.1 ст. 19.5 КоАП РФ наступает за  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государственный надзор (контроль), муниципальный контроль, об устра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нении нарушений законодательства. </w:t>
      </w:r>
    </w:p>
    <w:p w:rsidR="006945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ность которых подвергается контролю (надзору). </w:t>
      </w:r>
    </w:p>
    <w:p w:rsidR="00B034CE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онодательства.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конном праве объектами топливно-энергетического комплекса, установлены Федеральным законом от 21 июля 2011 года N 256-ФЗ "О безопасности топливно-энергетического комплекса" (далее - Федеральный закон №256-ФЗ).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1 статьи 7 названного выше Феде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рального закона №256-ФЗ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части 2 статьи 12 данного Федерального закона №256-ФЗ субъекты топливно-энергетического компле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кса обязаны выполнять предписания, постановления должностных лиц уполномоченных органов исполнительной власти об устранении нарушений требований обеспечения безопасности объектов топливно-энергетического комплекса.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положений Федерального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от 21.07.2011 года №256-ФЗ Постановлением Правительства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соответствии с пунктом 1 Правил от 5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мая 2012 года данные Правила устанавливают требования по 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14 с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татьи 2 Федерального закона №256-ФЗ предусмотрено,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выполнения и соблюдение которых обеспечивает безопасность объектов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топливно-энергетического комплекса и антитеррористическую защищенность объектов топливно-энергетического комплекса.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4 статьи 6 Федерального закона №256-ФЗ федеральный го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сударственный контроль (надзор) за обеспечением безопасности объектов топливно-энергетического комплекса осуществляется в порядке, установленном Правительством Российской Федерации, уполномоченными в соответствии с законодательством Российской Федерации фе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деральными органами исполнительной власти (далее - уполномоченные федеральные органы исполнительной власти).</w:t>
      </w:r>
    </w:p>
    <w:p w:rsidR="000A3C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РФ от 20 октября 2016 года № 1067 утверждены Правила осуществления Федеральной службой войск национальной гвардии Росс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ийской Федерации и ее территориальными органами федерального государственного контроля (надзора) за обеспечением безопасности объектов топливно-энергетического комплекса.</w:t>
      </w:r>
    </w:p>
    <w:p w:rsidR="00227C8C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 «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Бахчисарайская</w:t>
      </w:r>
      <w:r w:rsidRPr="0021233D" w:rsid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нефтебаза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расположенная по адресу: </w:t>
      </w:r>
      <w:r w:rsidR="00223D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233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является 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</w:t>
      </w:r>
      <w:r w:rsidRPr="0021233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 и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принадлежит ООО «Фирма ТЭС»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которого является </w:t>
      </w:r>
      <w:r w:rsidRPr="0021233D" w:rsidR="008C6339">
        <w:rPr>
          <w:rFonts w:ascii="Times New Roman" w:hAnsi="Times New Roman" w:cs="Times New Roman"/>
          <w:sz w:val="28"/>
          <w:szCs w:val="28"/>
        </w:rPr>
        <w:t>Бейм С.Г.</w:t>
      </w:r>
    </w:p>
    <w:p w:rsidR="00EC6B6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Указанный объект вкл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ючен в реестр объектов топливно-энергетического комплекса Республики Крым с присвоенной средней категории опасности. </w:t>
      </w:r>
    </w:p>
    <w:p w:rsidR="00FF21D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</w:t>
      </w:r>
      <w:r w:rsidRPr="0021233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проведения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внеплановой выездной проверки объекта топливно-энергетического комплекса </w:t>
      </w:r>
      <w:r w:rsidRPr="0021233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Бахчисарайская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нефтебаза</w:t>
      </w:r>
      <w:r w:rsidRPr="0021233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принадлежащего ООО «Фирма ТЭС» </w:t>
      </w:r>
      <w:r w:rsidRPr="0021233D">
        <w:rPr>
          <w:rFonts w:ascii="Times New Roman" w:hAnsi="Times New Roman" w:cs="Times New Roman"/>
          <w:sz w:val="28"/>
          <w:szCs w:val="28"/>
        </w:rPr>
        <w:t xml:space="preserve">и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223D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выявлено, что 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 ООО «Фирма ТЭС» </w:t>
      </w:r>
      <w:r w:rsidRPr="0021233D" w:rsidR="008C6339">
        <w:rPr>
          <w:rFonts w:ascii="Times New Roman" w:hAnsi="Times New Roman" w:cs="Times New Roman"/>
          <w:sz w:val="28"/>
          <w:szCs w:val="28"/>
        </w:rPr>
        <w:t>Бейм С.Г.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установленный срок, а именно до 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сентября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2018 года, требования 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Предписания от 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сентября 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№ 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21233D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1233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21233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устранении нарушений Федерального закона от 21.07.2011 № 256-ФЗ «О безопасности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объектов топливно-энергетического комплекса», «Правил по обеспечению безопасности и антитеррористической защищенности объектов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комплекса», утвержденных постановлением Правительства Российской Федерации от 05.05.2012 г. № 458 дсп, а именно: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1 Предписания об устранении выявленных нарушений в части приведения в соответствие системы физи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ческой защиты: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ч. 1 ст. 9 Федерального закона от 21.07.2011 № 256-ФЗ «О безопасности объектов топливно-энергетического комплекса» охрана объекта подразделениями охраны, имеющими в своем распоряжении гражданское, служебное оружие и специ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альные средства не организована;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пп. «а» п. 3 приложения № 1 Правил досмотровые мероприятия при проходе на критические элементы объекта не обеспечены.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2 Предписания об устранении выявленных нарушений в части приведен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ия в соответствие комплекса инженерно-технических средств защиты: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65 Правил железобетонные блоки или столбы перед постом охраны поскольку данные помещения являются составной частью периметра объекта и выходят на неохраняемую террито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рию не</w:t>
      </w:r>
      <w:r w:rsidRPr="0021233D" w:rsidR="008C34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установлены;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71, 95-97 Правил запретная зона отторжения не определены;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3.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81, 82 Правил на основном дополнительное ограждение, выполненное в виде козыр</w:t>
      </w:r>
      <w:r w:rsidRPr="0021233D" w:rsidR="008C3494">
        <w:rPr>
          <w:rFonts w:ascii="Times New Roman" w:hAnsi="Times New Roman" w:eastAsiaTheme="minorHAnsi" w:cs="Times New Roman"/>
          <w:sz w:val="28"/>
          <w:szCs w:val="28"/>
          <w:lang w:eastAsia="en-US"/>
        </w:rPr>
        <w:t>ька из колючей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проволоки «Егоза» не установлено;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.</w:t>
      </w:r>
      <w:r w:rsidRPr="0021233D" w:rsidR="008C34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 с п. 81, 83, 84 Правил под осно</w:t>
      </w:r>
      <w:r w:rsidRPr="0021233D" w:rsidR="008C34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вным ограждением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нижнее дополнительное ограждение не установлено;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. В соответствии с п 85 Правил дополнительное ограждение на крышах и стенах зданий являющихся составной частью периметр не установлено.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6.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оответствии с п. 86 Правил и пп. «в» п. 1 Приложения № 1 Правил с внешней стороны основного ограждения просматриваемое предупредительное ограждение не установлено;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7.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87, 88 Правил критические элементы и досмотровые площадки контрольно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-пропускных пунктов предупредительным ограждением, выполненным из металлической сетки или прутков, армированной колючей ленты не оборудованы;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8.  В соответствии с п. 90, 104, 106, 108 Правил для обозначения границ участков постов разграничительные знаки не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установлены;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9.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99 Правил на объекте наблюдательные вышки, обеспечивающей защиту контролера (постового) от поражения стрелковым оружием не установлены;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10.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101, 126 Правил контрольно-пропускные пункты не оборудован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103 Правил для обеспечения безопасности сотрудников охраны оконные и дверные проемы совмещенного контрольно-пропускного пункта защитными конструкциями не оборудованы;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соответствии с п. 114 Правил помещение операторов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технических средств охраны не оборудованы;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13.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116 Правил оснащение калитки для прохода людей и входной двери в помещение контрольно-пропускного пункта переговорным устройством, смотровым глазком не обеспечены;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14.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17 Правил хороший обзор и защита контролера (постового) от нападения на контрольно-пропускном пункте не обеспечены;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15.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118 Правил на совмещенном контрольно-пропускном пункте комната досмотра не оборудована, камерами для личных вещей по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сетителей объекта не оснащена;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16.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129-136, 139 Правил досмотровые площадки на контрольно-пропускных пунктах не установлены и не оборудованы соответствующим образом;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17.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137 Правил при подъезде к объекту дорожные запрещ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ающие знаки не установлены;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18.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138, 145 Правил противотаранные заграждения,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предназначенные для остановки автотранспортных средств, выполненное в виде железобетонного  цоколя основного ограждения; барьера  из железобетонных блоков, спе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циального шлагбаума, а также другой конструкции, создающей гарантированное препятствие переезду или пролому не установлены;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19.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141, 154 Правил оснащение дистанционным управлением ворот контрольно-пропускных пунктов для автомобильного 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железнодорожного транспорта не обеспечено;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20.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151, 152, 157 Правил досмотровые площадки для железнодорожного транспорта не установлены;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158 Правил на объекте наличие спаренных тормозных башмаков для железнодорожного транспорта, которые предназначены для предотвращения несанкционированного проезда при досмотре железнодорожного состава не обеспечено.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 Предписания об устранении выявленных нарушений в части приведения в соответствие системы охранной сигнализации: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170-185 Правил, весь периметр объекта системой охранной сигнализации не оборудован, сопряжение с другими системами ком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плекса инженерно-технических средств охраны — системой охранной телевизионной, системой сбора и обработки информации, системой контроля и управления доступом не обеспечено;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177 Правил, п. 5 Приложения № 1 Правил периметр объекта, выд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еленные зоны охраны, уязвимые зоны и критические элементы объекта периметральными средствами обнаружения или охранными извещателями не оборудованы, вывод тревожной информации на пункт централизованной охраны не реализован;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3. В соответствии с п. 112 Правил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входы на контрольно-пропускные пункты средствами охранной сигнализации не оборудованы;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4.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пп. «а» п. 7 приложения № 1 к Правилам помещения объекта, критические элементы стационарными кнопками для подачи извещения о тревоге с выводом на об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ъектовый пункт централизованной охраны не оборудованы.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4 Предписания об устранении выявленных нарушений в части приведения в соответствие систему сбора и обработки информации: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п. 186-198 Правил на объекте систем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 сбора и обработки информации не установлена;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199-203 Правил, п. 14 приложения № 1 к Правилам на объекте пункт централизованной охраны не оборудован.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5 Предписания об устранении выявленных нарушений в части при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ведения в соответствие системы контроля и управления доступом: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204 Правил, на объекте система контроля и управления доступом не установлена, не интегрирована с системой охранной сигнализации;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пп. «а» п. 3 Приложен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ия № 1 к Правил на объекте возможность двойной идентификации не реализована.</w:t>
      </w:r>
    </w:p>
    <w:p w:rsidR="008C3494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6 Предписания об устранении выявленных нарушений в части обеспечения специальных технических средств досмотра на контрольно-пропускных пунктах:</w:t>
      </w:r>
    </w:p>
    <w:p w:rsidR="008C3494" w:rsidRPr="0021233D" w:rsidP="0021233D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 п. 212-226 Правил, пп. «б», п. 3 Приложения № 1 к Правилам наличие на контрольно-пропускных пунктах обнаруживателей взрывчатых веществ не обеспечено;</w:t>
      </w:r>
    </w:p>
    <w:p w:rsidR="008C3494" w:rsidRPr="0021233D" w:rsidP="0021233D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 В соответствии с п. 213 Правил состав технических средств досмотра не определён.</w:t>
      </w:r>
    </w:p>
    <w:p w:rsidR="008C3494" w:rsidRPr="0021233D" w:rsidP="0021233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7 Предписания об устранении выявленных нарушений в части приведения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соответствие системы охранной, телевизионной: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227, 231, 232 Правил объективный контроль за обстановкой в охранных зонах и на прилегающей территории объекта не об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еспечен;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нарушение п. 239 Правил на объекте периферийные технические средства системы охранной телевизионной со встроенной функцией обнаружения движущейся цели (видеодетектор) не установлены.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8 Предписания об устра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нении выявленных нарушений в части приведения в соответствие системы оперативной связи: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п. 242 Правил, пп. «д» п. 10 Приложения к Правилам на совмещенном контрольно-пропускном пункте выход в проводную городскую телефонную сеть не обеспе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чен;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соответствии с пп. «а» «в» п. 10 приложения №1 к Правилам оснащение объекта объектовыми стационарными радиостанциями и объектовыми средствами проводной связи не обеспечено.</w:t>
      </w:r>
    </w:p>
    <w:p w:rsidR="00E73FA7" w:rsidRPr="0021233D" w:rsidP="0021233D">
      <w:pPr>
        <w:tabs>
          <w:tab w:val="left" w:pos="-4253"/>
        </w:tabs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 9 Предписания об устранении выявленных нарушений в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части приведения в соответствие систему охранного освещения: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 В соответствии с п. 247-258 Правил на объекте наличие охранного освещения объекта не обеспечено.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В соответствии с п. 10 Предписания об устранении выявленных нарушений, на объекте наличие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взрывозащитных средств не обеспечено (п. 16 приложения № 1 к Правилам.</w:t>
      </w:r>
    </w:p>
    <w:p w:rsidR="00E73FA7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соответствии с п. 11 Предписания об устранении выявленных нарушений:</w:t>
      </w:r>
    </w:p>
    <w:p w:rsidR="00F3076D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1.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соответствии с требованиями ч. 7 ст. 8 Федерального закона от 21.07.2011 № 256-ФЗ «О безопасности объектов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топливно-энергетического комплекса» и пп. «б» «в» п. 3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 актуализация паспорта безоп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асности объекта «Бахчисарайская нефтебаза» ООО «Фирма «ТЭС» в связи с изменениями общей площади, периметра территории объекта, количества потенциально опасных участков и критических элементов на объекте на момент окончания проверки не проведена.</w:t>
      </w:r>
    </w:p>
    <w:p w:rsidR="004B4025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 выявленных нарушений,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.10.2018 г. должностным лицом Управления Росгвардии по Республике Крым составлен протокол об административном правонарушении, предусмотренном 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в отношен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 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 ООО «Фирма «ТЭС»  Беймом С.Г.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</w:t>
      </w:r>
      <w:r w:rsidRPr="0021233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1233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подтверждается:  протоколом № 91 ПГК 009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181018 </w:t>
      </w:r>
      <w:r w:rsidRPr="0021233D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>00001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административном правонарушении от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 (л.д. 1-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распоряжения от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 №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665 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-1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 копией акта проверки №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дсп/2018 от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.2018 г. (л.д. </w:t>
      </w:r>
      <w:r w:rsidRPr="0021233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акта 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проверки №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40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дсп от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.11.2017 г. (л.д.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30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40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предписания №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дсп от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.2017 г. (л.д.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41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Устава ООО «Фирма «ТЭС» (л.д. 55-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64</w:t>
      </w:r>
      <w:r w:rsidRPr="0021233D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приказа №258 от 08.09.2015 г. (л.д. 65), 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выпиской из ЕГРЮЛ (л.д. 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83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-1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и с неисполнением либо ненадлежащим исполнением своих служебных обязанностей.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ководители и другие работники организаций несут административную ответственность как должностные лица.</w:t>
      </w:r>
    </w:p>
    <w:p w:rsidR="0058081B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данному делу – не установлено.  </w:t>
      </w:r>
    </w:p>
    <w:p w:rsidR="0058081B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нтересы 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составлении протокола об административном правонарушении нарушены не были.         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21233D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ст. 26.11 КоАП РФ, прихожу к выводу о виновности 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 С.Г.</w:t>
      </w:r>
      <w:r w:rsidRPr="0021233D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как должностного лица - </w:t>
      </w:r>
      <w:r w:rsidRPr="0021233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правонарушения, предусмотренного 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RPr="00432D8A" w:rsidP="00432D8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</w:t>
      </w:r>
      <w:r w:rsidRP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>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</w:t>
      </w:r>
      <w:r w:rsidRP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>ложение, а также обстоятельства, смягчающие или отягчающие административную ответственность.</w:t>
      </w:r>
    </w:p>
    <w:p w:rsidR="00432D8A" w:rsidRPr="00432D8A" w:rsidP="00432D8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D8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</w:t>
      </w:r>
      <w:r w:rsidRPr="00432D8A">
        <w:rPr>
          <w:rFonts w:ascii="Times New Roman" w:eastAsia="Calibri" w:hAnsi="Times New Roman" w:cs="Times New Roman"/>
          <w:sz w:val="28"/>
          <w:szCs w:val="28"/>
          <w:lang w:eastAsia="en-US"/>
        </w:rPr>
        <w:t>ие</w:t>
      </w:r>
      <w:r w:rsidRPr="00432D8A">
        <w:rPr>
          <w:rFonts w:ascii="Times New Roman" w:hAnsi="Times New Roman" w:cs="Times New Roman"/>
          <w:sz w:val="28"/>
          <w:szCs w:val="28"/>
        </w:rPr>
        <w:t>.</w:t>
      </w:r>
    </w:p>
    <w:p w:rsidR="00432D8A" w:rsidRPr="00432D8A" w:rsidP="00432D8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D8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655330" w:rsidRPr="0021233D" w:rsidP="00432D8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432D8A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президенту</w:t>
      </w:r>
      <w:r w:rsidRPr="0021233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«Фирма «ТЭС»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Бейму С.Г.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</w:t>
      </w:r>
      <w:r w:rsidRPr="0021233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Pr="0021233D"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1A68C3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55330" w:rsidRPr="0021233D" w:rsidP="0021233D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</w:t>
      </w:r>
      <w:r w:rsidRPr="0021233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Общества с ограниченной ответственностью «Фирма «ТЭС» Бейма Сергея Геннадиевича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виновным в совершении правонарушения, предусмотренного  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ему</w:t>
      </w:r>
      <w:r w:rsidRPr="0021233D" w:rsidR="00732EA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административное наказание в виде административного штрафа в размере 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1000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(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одна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</w:t>
      </w:r>
      <w:r w:rsidRPr="0021233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) рублей.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получатель - Управление Росгвардии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Крым, л/с 04751D20600, ИНН 9102219091, КПП 910201001, ОКТМО 35701000, Банк получателя - </w:t>
      </w:r>
      <w:r w:rsidRPr="0021233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тделение Республик</w:t>
      </w:r>
      <w:r w:rsidRPr="0021233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Крым; р/сч 40101810335100010001,</w:t>
      </w:r>
      <w:r w:rsidRPr="0021233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БИК 043510001, КБК 180 1 16 90010 01 6000 140; назначение платежа: административный штраф, постанов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ление № 05-0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687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/16/2018 от 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1233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21233D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.2018 г.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отсрочки или рассрочки, предусмотренных статьей 31.5 КоАП РФ.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55330" w:rsidRPr="0021233D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P="0021233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</w:t>
      </w:r>
      <w:r w:rsid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1233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  <w:r w:rsidRP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О.А. Чепиль</w:t>
      </w: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21233D">
      <w:headerReference w:type="default" r:id="rId4"/>
      <w:pgSz w:w="11906" w:h="16838"/>
      <w:pgMar w:top="702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7AC3834"/>
    <w:multiLevelType w:val="hybridMultilevel"/>
    <w:tmpl w:val="455C608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9" w:hanging="360"/>
      </w:pPr>
    </w:lvl>
    <w:lvl w:ilvl="2" w:tentative="1">
      <w:start w:val="1"/>
      <w:numFmt w:val="lowerRoman"/>
      <w:lvlText w:val="%3."/>
      <w:lvlJc w:val="right"/>
      <w:pPr>
        <w:ind w:left="2339" w:hanging="180"/>
      </w:pPr>
    </w:lvl>
    <w:lvl w:ilvl="3" w:tentative="1">
      <w:start w:val="1"/>
      <w:numFmt w:val="decimal"/>
      <w:lvlText w:val="%4."/>
      <w:lvlJc w:val="left"/>
      <w:pPr>
        <w:ind w:left="3059" w:hanging="360"/>
      </w:pPr>
    </w:lvl>
    <w:lvl w:ilvl="4" w:tentative="1">
      <w:start w:val="1"/>
      <w:numFmt w:val="lowerLetter"/>
      <w:lvlText w:val="%5."/>
      <w:lvlJc w:val="left"/>
      <w:pPr>
        <w:ind w:left="3779" w:hanging="360"/>
      </w:pPr>
    </w:lvl>
    <w:lvl w:ilvl="5" w:tentative="1">
      <w:start w:val="1"/>
      <w:numFmt w:val="lowerRoman"/>
      <w:lvlText w:val="%6."/>
      <w:lvlJc w:val="right"/>
      <w:pPr>
        <w:ind w:left="4499" w:hanging="180"/>
      </w:pPr>
    </w:lvl>
    <w:lvl w:ilvl="6" w:tentative="1">
      <w:start w:val="1"/>
      <w:numFmt w:val="decimal"/>
      <w:lvlText w:val="%7."/>
      <w:lvlJc w:val="left"/>
      <w:pPr>
        <w:ind w:left="5219" w:hanging="360"/>
      </w:pPr>
    </w:lvl>
    <w:lvl w:ilvl="7" w:tentative="1">
      <w:start w:val="1"/>
      <w:numFmt w:val="lowerLetter"/>
      <w:lvlText w:val="%8."/>
      <w:lvlJc w:val="left"/>
      <w:pPr>
        <w:ind w:left="5939" w:hanging="360"/>
      </w:pPr>
    </w:lvl>
    <w:lvl w:ilvl="8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36C5E"/>
    <w:rsid w:val="0007517B"/>
    <w:rsid w:val="00075517"/>
    <w:rsid w:val="000764BB"/>
    <w:rsid w:val="000A3C94"/>
    <w:rsid w:val="000A5FD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56AF7"/>
    <w:rsid w:val="00162D53"/>
    <w:rsid w:val="00183A70"/>
    <w:rsid w:val="00195A96"/>
    <w:rsid w:val="001A68C3"/>
    <w:rsid w:val="001B2C18"/>
    <w:rsid w:val="001F6421"/>
    <w:rsid w:val="0021233D"/>
    <w:rsid w:val="00223DC7"/>
    <w:rsid w:val="00227C8C"/>
    <w:rsid w:val="00240810"/>
    <w:rsid w:val="00245B5C"/>
    <w:rsid w:val="00255381"/>
    <w:rsid w:val="002562C7"/>
    <w:rsid w:val="00275212"/>
    <w:rsid w:val="002A413F"/>
    <w:rsid w:val="002A7625"/>
    <w:rsid w:val="002B0141"/>
    <w:rsid w:val="002B2164"/>
    <w:rsid w:val="002D197C"/>
    <w:rsid w:val="002E6C2A"/>
    <w:rsid w:val="002F14B0"/>
    <w:rsid w:val="00306620"/>
    <w:rsid w:val="00312A7C"/>
    <w:rsid w:val="00314FAC"/>
    <w:rsid w:val="00320BBD"/>
    <w:rsid w:val="00326F70"/>
    <w:rsid w:val="003827F2"/>
    <w:rsid w:val="003E7962"/>
    <w:rsid w:val="003F33D1"/>
    <w:rsid w:val="004157E8"/>
    <w:rsid w:val="00432D8A"/>
    <w:rsid w:val="0049654A"/>
    <w:rsid w:val="004B4025"/>
    <w:rsid w:val="004B6663"/>
    <w:rsid w:val="004E134F"/>
    <w:rsid w:val="004F60F2"/>
    <w:rsid w:val="0050066F"/>
    <w:rsid w:val="0050222E"/>
    <w:rsid w:val="00511D30"/>
    <w:rsid w:val="00522C1F"/>
    <w:rsid w:val="005560A8"/>
    <w:rsid w:val="0057788C"/>
    <w:rsid w:val="0058081B"/>
    <w:rsid w:val="00596D99"/>
    <w:rsid w:val="005B3600"/>
    <w:rsid w:val="005C028E"/>
    <w:rsid w:val="005C09A6"/>
    <w:rsid w:val="005F356D"/>
    <w:rsid w:val="006068AF"/>
    <w:rsid w:val="00607638"/>
    <w:rsid w:val="0064337E"/>
    <w:rsid w:val="00652D11"/>
    <w:rsid w:val="00655330"/>
    <w:rsid w:val="006615F4"/>
    <w:rsid w:val="006909C6"/>
    <w:rsid w:val="006945A7"/>
    <w:rsid w:val="00696868"/>
    <w:rsid w:val="006A4B00"/>
    <w:rsid w:val="006B328B"/>
    <w:rsid w:val="006B726E"/>
    <w:rsid w:val="006C01E2"/>
    <w:rsid w:val="006C7750"/>
    <w:rsid w:val="006C7C5C"/>
    <w:rsid w:val="006D6275"/>
    <w:rsid w:val="006E4D54"/>
    <w:rsid w:val="006E5E49"/>
    <w:rsid w:val="006E6645"/>
    <w:rsid w:val="006F357C"/>
    <w:rsid w:val="007065AC"/>
    <w:rsid w:val="00727B9C"/>
    <w:rsid w:val="00732EAD"/>
    <w:rsid w:val="00735B20"/>
    <w:rsid w:val="00754AD6"/>
    <w:rsid w:val="00754C73"/>
    <w:rsid w:val="007974B9"/>
    <w:rsid w:val="007A6DFB"/>
    <w:rsid w:val="007B406F"/>
    <w:rsid w:val="007B7A55"/>
    <w:rsid w:val="007E28CD"/>
    <w:rsid w:val="007E6D19"/>
    <w:rsid w:val="00816ADF"/>
    <w:rsid w:val="00830572"/>
    <w:rsid w:val="00836605"/>
    <w:rsid w:val="00847DC8"/>
    <w:rsid w:val="0086573A"/>
    <w:rsid w:val="008A7859"/>
    <w:rsid w:val="008C3494"/>
    <w:rsid w:val="008C6339"/>
    <w:rsid w:val="008E19AE"/>
    <w:rsid w:val="00902F98"/>
    <w:rsid w:val="009040B5"/>
    <w:rsid w:val="00912454"/>
    <w:rsid w:val="009276F4"/>
    <w:rsid w:val="0095639C"/>
    <w:rsid w:val="00970F27"/>
    <w:rsid w:val="009B743F"/>
    <w:rsid w:val="009D6F17"/>
    <w:rsid w:val="009E1492"/>
    <w:rsid w:val="00A127F4"/>
    <w:rsid w:val="00A234DE"/>
    <w:rsid w:val="00A44ED1"/>
    <w:rsid w:val="00A65C61"/>
    <w:rsid w:val="00A84324"/>
    <w:rsid w:val="00A91337"/>
    <w:rsid w:val="00A953A7"/>
    <w:rsid w:val="00AD2B3D"/>
    <w:rsid w:val="00AF57C5"/>
    <w:rsid w:val="00B034CE"/>
    <w:rsid w:val="00B21558"/>
    <w:rsid w:val="00B62F46"/>
    <w:rsid w:val="00B72293"/>
    <w:rsid w:val="00B92882"/>
    <w:rsid w:val="00BA2359"/>
    <w:rsid w:val="00BB33D5"/>
    <w:rsid w:val="00BC0799"/>
    <w:rsid w:val="00BC39BC"/>
    <w:rsid w:val="00BD44D5"/>
    <w:rsid w:val="00BF0C6B"/>
    <w:rsid w:val="00BF0EB9"/>
    <w:rsid w:val="00C13694"/>
    <w:rsid w:val="00C37D8B"/>
    <w:rsid w:val="00C42F39"/>
    <w:rsid w:val="00C73938"/>
    <w:rsid w:val="00C75BB9"/>
    <w:rsid w:val="00C80A36"/>
    <w:rsid w:val="00C9561F"/>
    <w:rsid w:val="00C96DF7"/>
    <w:rsid w:val="00CA09B5"/>
    <w:rsid w:val="00CA57DF"/>
    <w:rsid w:val="00CC057E"/>
    <w:rsid w:val="00CD062A"/>
    <w:rsid w:val="00D21727"/>
    <w:rsid w:val="00D41CEA"/>
    <w:rsid w:val="00D4596D"/>
    <w:rsid w:val="00D522EC"/>
    <w:rsid w:val="00D53118"/>
    <w:rsid w:val="00D60FDD"/>
    <w:rsid w:val="00D62142"/>
    <w:rsid w:val="00D63B70"/>
    <w:rsid w:val="00D93580"/>
    <w:rsid w:val="00D956F3"/>
    <w:rsid w:val="00DA781C"/>
    <w:rsid w:val="00DE5993"/>
    <w:rsid w:val="00DF088B"/>
    <w:rsid w:val="00E07F74"/>
    <w:rsid w:val="00E36C17"/>
    <w:rsid w:val="00E5723A"/>
    <w:rsid w:val="00E612DD"/>
    <w:rsid w:val="00E62404"/>
    <w:rsid w:val="00E73FA7"/>
    <w:rsid w:val="00E83867"/>
    <w:rsid w:val="00EA4A7E"/>
    <w:rsid w:val="00EB6EA4"/>
    <w:rsid w:val="00EB79BF"/>
    <w:rsid w:val="00EC6B60"/>
    <w:rsid w:val="00EC6EC1"/>
    <w:rsid w:val="00F02A07"/>
    <w:rsid w:val="00F1247F"/>
    <w:rsid w:val="00F3076D"/>
    <w:rsid w:val="00F410A2"/>
    <w:rsid w:val="00F450D7"/>
    <w:rsid w:val="00F4755B"/>
    <w:rsid w:val="00F664AB"/>
    <w:rsid w:val="00F72089"/>
    <w:rsid w:val="00F85F77"/>
    <w:rsid w:val="00FA1DC9"/>
    <w:rsid w:val="00FA6436"/>
    <w:rsid w:val="00FC5350"/>
    <w:rsid w:val="00FE142C"/>
    <w:rsid w:val="00FE2C95"/>
    <w:rsid w:val="00FE38EC"/>
    <w:rsid w:val="00FF1180"/>
    <w:rsid w:val="00FF21D4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C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