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FB8" w:rsidRPr="000910D0" w:rsidP="000910D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Дело № 05-0</w:t>
      </w:r>
      <w:r w:rsidRPr="000910D0" w:rsidR="00191518">
        <w:rPr>
          <w:rFonts w:ascii="Times New Roman" w:eastAsia="Times New Roman" w:hAnsi="Times New Roman" w:cs="Times New Roman"/>
          <w:b/>
          <w:sz w:val="28"/>
          <w:szCs w:val="28"/>
        </w:rPr>
        <w:t>754</w:t>
      </w: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0910D0" w:rsidR="00671CB1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454FB8" w:rsidRPr="000910D0" w:rsidP="000910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FB8" w:rsidRPr="000910D0" w:rsidP="000910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4FB8" w:rsidRPr="000910D0" w:rsidP="009529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 декабря 201</w:t>
      </w:r>
      <w:r w:rsidRPr="000910D0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Pr="000910D0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10D0" w:rsidR="00964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910D0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454FB8" w:rsidRPr="000910D0" w:rsidP="000910D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1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91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910D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0910D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91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910D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B8" w:rsidRPr="000910D0" w:rsidP="000910D0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>вице-</w:t>
      </w:r>
      <w:r w:rsidRPr="000910D0" w:rsidR="00E06D8F">
        <w:rPr>
          <w:rFonts w:ascii="Times New Roman" w:hAnsi="Times New Roman" w:cs="Times New Roman"/>
          <w:sz w:val="28"/>
          <w:szCs w:val="28"/>
        </w:rPr>
        <w:t>п</w:t>
      </w:r>
      <w:r w:rsidRPr="000910D0">
        <w:rPr>
          <w:rFonts w:ascii="Times New Roman" w:hAnsi="Times New Roman" w:cs="Times New Roman"/>
          <w:sz w:val="28"/>
          <w:szCs w:val="28"/>
        </w:rPr>
        <w:t xml:space="preserve">резидента Общества с ограниченной ответственностью «Фирма «ТЭС» Брага Виктора Витальевича,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4FB8" w:rsidRPr="000910D0" w:rsidP="000910D0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20.30 Кодекса Российской  Федерации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</w:t>
      </w:r>
    </w:p>
    <w:p w:rsidR="00454FB8" w:rsidRPr="000910D0" w:rsidP="000910D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B8" w:rsidRPr="000910D0" w:rsidP="000910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 3</w:t>
      </w:r>
      <w:r w:rsidRPr="000910D0" w:rsidR="0019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проведения </w:t>
      </w:r>
      <w:r w:rsidRPr="000910D0" w:rsidR="0019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правлением Федеральной службы войск национальной гвардии Российской Федерации по Республике Крым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г. Севастополю планов</w:t>
      </w:r>
      <w:r w:rsidRPr="000910D0" w:rsidR="007E6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</w:t>
      </w:r>
      <w:r w:rsidRPr="000910D0" w:rsidR="007E6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0910D0" w:rsidR="007E6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топливно-энергетического комплекса на 201</w:t>
      </w:r>
      <w:r w:rsidRPr="000910D0" w:rsidR="0019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.11.201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выявлено невыполнение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вице-президентом ООО «Фирма «ТЭС» Брага 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требований по обеспечению безопасности и антитеррористической защищенности объекта топливно-энергетического комплекса средней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категории опасности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реестровый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>23.06.2015 г.)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принадлежащего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«Фирма «ТЭС»,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нарушение требований Федерального </w:t>
      </w:r>
      <w:hyperlink r:id="rId4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«О безопасности объектов топливно-энергетического комплекса»; Правил по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 458; приложения № 1 к указанным Правилам.</w:t>
      </w:r>
    </w:p>
    <w:p w:rsidR="00B56FEB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529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95290A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 </w:t>
      </w:r>
      <w:r w:rsidRPr="009529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явился, </w:t>
      </w:r>
      <w:r w:rsidRPr="0095290A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</w:t>
      </w:r>
      <w:r w:rsidRPr="0095290A" w:rsidR="0095290A">
        <w:rPr>
          <w:rFonts w:ascii="Times New Roman" w:hAnsi="Times New Roman" w:cs="Times New Roman"/>
          <w:sz w:val="28"/>
          <w:szCs w:val="28"/>
        </w:rPr>
        <w:t>подал заявление о рассмотрении дела в его отсутствие, в котором также указывает, что вину признает, просит назначить минимальное наказание</w:t>
      </w:r>
      <w:r w:rsidRPr="0095290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95290A" w:rsidRPr="00C0276D" w:rsidP="0095290A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>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671CB1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оценив представленные доказательства в их совокупности, суд приходит к следующим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20.30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обеспечения безопасности и антит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не содержат уголовно наказуемого деяния.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6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"О безопасности объектов топливно-энергетического комплекса" (далее - Закон № 256-ФЗ).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7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3 статьи 12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соблюдение требований обеспечения безопасности объектов топливно-энергетического комплекса и требований антите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8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 3 статьи 7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целях реализации положений Федерального </w:t>
      </w:r>
      <w:hyperlink r:id="rId9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года № 256-ФЗ Постановлением Правительства РФ от 05.05.2012 № 458, утверждены Правила по обеспечению безопасности и антитеррор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истической защищенности объектов топливно-энергетического комплекса.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Симферопольская 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нефтебаза» ООО 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которого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Брага В.В.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, является субъектом топливно-энергетического комплекса.</w:t>
      </w:r>
    </w:p>
    <w:p w:rsidR="00631070" w:rsidRPr="003B20FA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плановой проверки объекта топливно-энергетического комплекса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принадлежаще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ООО «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Фирма «ТЭС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», 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вице-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президентом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которого является 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Брага В.В.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должностными лицами Управления Росгвардии по Республике Крым по состоянию на 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29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.11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выявлено невыполнение требований по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обеспечению безопасности и антитеррористической защищенности объекта топливно-энергетического комплекса, а именно: 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1.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области системы физической охраны: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пп. «а» п. 3 приложения № 1 Правил не организованы досмотровые мероприятия при проходе на критические элементы объекта.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2. В инженерно-технических средств защиты: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ab/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103 Правил оконные и дверны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 проемы не обеспечивают должную защиту сотрудников подразделения охраны от нападения, выполнены без использования защитного остекления (композиция стекла и полимерных пленок), защитными металлическими оконными конструкциями для уязвимых мест (жалюзи, став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ни, решетки, сетки и др.) и стальных или деревянных конструкций с вставками из бронестекла или защитного остекления;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11, 12 Правил на объекте отсутствуют посты охраны на объекте;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118 Правил на совмещенном контрольно-пропускном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пункте не оборудована комната досмотра, отсутствуют камеры для личных вещей посетителей объекта;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141, 154 Правил ворота совмещенного контрольно-пропускного пункта не оборудованы электромеханическими приводами управления;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114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Правил отсутствует комната операторов технических средств охраны, расположенная в отдельно выделенном помещении с входной дверью, оборудованной замковым устройством, дистанционно управляемым с рабочего места оператора;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101, 126 Правил на кон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трольно-пропускном пункте отсутствует лоток с пропусками водителей транспортных средств и сопровождающих транспорт (груз) сотрудников, рамок с образцами пропусков, подписей и слепков печатей;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137 Правил при подъезде к объекту не установлены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дорожные запрещающие знаки;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129-136, 139 Правил на контрольно-пропускных пунктах для автомобильного и железнодорожного транспорта отсутствуют досмотровые площадки;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138, 145 Правил отсутствуют противотаранные заграждения, предн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азначенные для остановки автотранспортных средств, выполненные в виде железобетонного цоколя основного ограждения, барьера из железобетонных блоков, металлических ежей или специального шлагбаума, а также другой конструкции, создающей гарантированное препят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ствие переезду или пролому;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81, 82 Правил на части основного ограждения отсутствует верхнее дополнительное ограждение;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151, 152, 157 Правил досмотровой площадкой для железнодорожного транспорта объект не оборудован, основные (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вспомогательные) ворота (шлагбаумы), приставные лестницы, в том числе передвижные вышки и стремянки отсутствуют;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пп. «в» п. 3 Приложения № 1 Правил на объекте не установлен семафор для железнодорожного транспорта;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99 Правил на об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ъекте отсутствуют наблюдательные вышки, установленные для увеличения и лучшего просмотра запретной зоны и доступов к объекту, конструкция которой должна обеспечивать должную защиту контролёра (постового) от поражения стрелковым оружием и оборудована систем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ой охранной телевизионной;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 85 Правил дополнительное ограждение не установлено на крышах и стенах одноэтажных зданий являющихся составной частью периметра;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81, 83, 84 Правил под основным ограждением не установлено нижнее дополни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тельное ограждение;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86 Правил и пп. «в» п. 1 Приложения № 1 Правил с внешней стороны основного ограждения не установлено просматриваемое предупредительное ограждение;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87, 88 Правил предупредительным ограждением, выполненным из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металлической сетки или прутков, армированной колючей ленты, не оборудованы критические элементы (высота ограждение составляет 1,5-2м), досмотровые площадки совмещённого контрольно-пропускного пункта для прохода людей и проезда автомобильного транспорта и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контрольно-пропускного пункта для железнодорожного транспорта (высота ограждения        2-2,5м);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90, 104, 106, 108 Правил для обозначения границ участков постов не установлены разграничительные знаки, установка запрещающих знаков при подъез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 к территории объекта в полной мере не реализована;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71, 95 Правил не определена запретная зона;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96, 97 Правил зона (полоса) отторжения отсутствует.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3. В области системы охранной сигнализации: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170-185 Правил н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 объекте отсутствует система охранной сигнализации; 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5 Приложения № 1 Правил, п. 177 Правил периметральными средствами обнаружения или охранными извещателями не оборудованы критические элементы и периметр объекта в целом;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пп. «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а» п. 7 приложения № 1 к Правилам стационарные кнопки для подачи извещения о тревоге с выводом на объектовый пункт централизованной охраны отсутствуют;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112 Правил входы на контрольно-пропускные пункты и управляемые преграждаемые конструкции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не оборудованы средствами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охранной сигнализации, которые выдают извещение о тревоге при попытке их вскрытия и разрушения.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4. В области системы сбора и обработки информации: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186-198 Правил система сбора и обработки информации отсутствует;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14 приложения № 1 к Правилам, п. 199 - 203 Правил отсутствует пункт централизованной охраны объекта.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5. В области системы контроля и управления доступом: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204 Правил на объекте не реализована система контроля и управления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доступом, не интегрирована с системой охранной сигнализации;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6. В области специальных технических средств досмотра: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пп. «а», «д» п. 214, 226 Правил, пп. «б», п. 3 Приложения                № 1 на объекте отсутствуют обнаруживатели взрывчатых ве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ществ и металлических предметов, положенных для объектов средней категории опасности;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213 Правил собственником не определён состав технических средств досмотра.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7. В области охранного освещения: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247-258 Правил охранное освещен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ие объекта в полной мере не реализовано.</w:t>
      </w:r>
    </w:p>
    <w:p w:rsidR="003B20FA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8. В области оперативной связи:</w:t>
      </w:r>
    </w:p>
    <w:p w:rsidR="006476D2" w:rsidRPr="003B20FA" w:rsidP="003B20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пп. «а» п. 10 Приложения №1 к Правилам на совмещенном контрольно-пропускном пункте отсутствуют стационарные радиостанции.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.11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должностным лицом Управления Росгвардии по Республике Крым составлен протокол об административном правонарушении, предусмотренном ст. 20.30 Кодекса Российской Федерации об административном правонарушении в отношении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Брага В.В.</w:t>
      </w:r>
    </w:p>
    <w:p w:rsidR="0068180D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президентом ООО «Фирма «ТЭС»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административного правонарушения, предусмотренного ст. 20.30 Кодекса Российской Федерации об административном правонарушении подтверждается:  протоколом об административном правонарушени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№ 91 ПГК 009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291119 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0000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22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1-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выпиской из Плана проведения  Управлением Росгвардии по Республике Крым плановых проверок объектов топливно-энергетического комплекса на 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 (л.д. 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Актом проверки №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47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дсп/201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объекта топливно-энергетического комплекса, принадлежащего ООО «Фирма «ТЭС» 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.11.201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27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),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о переводе работника на другую работу  №53/пр от  06.11.2018 г. (л.д. 33), должностной инструкцией вице-президента по антитеррористической деятельности ООО «Фирма «ТЭС»  (л.д. 34-42), 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Уставом ООО «Фирма «ТЭС» (л.д.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44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48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2.4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силу </w:t>
      </w:r>
      <w:hyperlink r:id="rId11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примечания к указанной норме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F5AE6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п. 1.2, 1.4 должностной инструкции вице-президента по антитеррористической деятельности ООО «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Фирма «ТЭС», вице-президент относится к категории руководителей и является ответственным за обеспечение безопасности и антитеррористической защищенности в субъекте  топливно-энергетического комплекса ООО «Фирма «ТЭС»</w:t>
      </w:r>
      <w:r w:rsidRPr="000910D0" w:rsidR="0098181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должностным обязанностям которого, отнесено:  организация и осуществление контроля за проведением соответствующих закупок товаров, работ и услуг, необходимых для обеспечения безопасности объектов ТЭК Предприятия</w:t>
      </w:r>
      <w:r w:rsidRPr="000910D0" w:rsidR="009818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(п. 2.13); 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существл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ение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общ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контрол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за нормативно-правовым регулированием в области обеспечения безопасности объектов ТЭК Предприятия, подготавливает обоснованные предложения Президенту о внесении изменений и дополнений во внутренние распорядительные документы, направленные на улучшение сист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емы антитеррористической и инженерно-технической защищенности объектов ТЭК Предприятия; организовывает и осуществляет контроль разработкой внутренних распорядительных документов по линии безопасности объектов ТЭК Предприятия, осуществляет контроль за их до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ведением до ведома сотрудников подразделений Предприятия и за своевременным исполнением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(п. 2.14); организовывает и осуществляет контроль за обеспечением выполнения на Предприятии действующего законодательства РФ, нормативных актов, документов контролирующих органов, поступающих на исполнение в Предприятие, внутренних нормативных и распорядительных документов по линии безопасности объектов ТЭК (п. 215)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735C4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указанными обязанностями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ознакомлен под личную подпись, о чем имеется соответствующая отметк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а в названной должностной инструкции  0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изложенные выше доказательства, в их совокупности, в соответствии с требованиями </w:t>
      </w:r>
      <w:hyperlink r:id="rId12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26.11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Брага В.В.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как должностного лица </w:t>
      </w:r>
      <w:r w:rsidRPr="000910D0"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вице-президента ООО 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hyperlink r:id="rId13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20.30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вице-президента ООО «Фирма «ТЭС» Брага В.В. 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0910D0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90A" w:rsidRPr="00C96456" w:rsidP="009529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ственность правонарушителя, – судом не усматривается.</w:t>
      </w:r>
    </w:p>
    <w:p w:rsidR="00671CB1" w:rsidRPr="000910D0" w:rsidP="000910D0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необходимым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вице-президенту ООО «Фирма «ТЭС» Брага В.В. 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0910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91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0D0">
        <w:rPr>
          <w:rFonts w:ascii="Times New Roman" w:eastAsia="Calibri" w:hAnsi="Times New Roman" w:cs="Times New Roman"/>
          <w:sz w:val="28"/>
          <w:szCs w:val="28"/>
          <w:lang w:eastAsia="en-US"/>
        </w:rPr>
        <w:t>однако, в минимально предусмотренном санкцией данной статьи размере.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ст.20.30, ст. 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0910D0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</w:p>
    <w:p w:rsidR="00454FB8" w:rsidRPr="000910D0" w:rsidP="000910D0">
      <w:pPr>
        <w:spacing w:after="0" w:line="240" w:lineRule="auto"/>
        <w:ind w:right="19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10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454FB8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910D0" w:rsidR="000910D0">
        <w:rPr>
          <w:rFonts w:ascii="Times New Roman" w:hAnsi="Times New Roman" w:cs="Times New Roman"/>
          <w:sz w:val="28"/>
          <w:szCs w:val="28"/>
        </w:rPr>
        <w:t>вице-президента Общества с ограниченной ответственностью «Фирма «ТЭС» Брага Виктора Витальевича</w:t>
      </w:r>
      <w:r w:rsidRPr="000910D0" w:rsid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виновным в совершении правонарушения, 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предусмотренного</w:t>
      </w:r>
      <w:r w:rsidRPr="000910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10D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ст. 20.30 </w:t>
      </w:r>
      <w:r w:rsidRPr="000910D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0910D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назначить ему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</w:t>
      </w:r>
      <w:r w:rsidRPr="000910D0" w:rsidR="00671C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000  (тридцать тысяч) рублей.</w:t>
      </w:r>
    </w:p>
    <w:p w:rsidR="00454FB8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уплаты штрафа: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получатель </w:t>
      </w:r>
      <w:r w:rsidRPr="000910D0" w:rsidR="00E06D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0D0" w:rsidR="00E06D8F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Росгвардии по Республике Крым</w:t>
      </w:r>
      <w:r w:rsidRPr="000910D0" w:rsidR="00E0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г. Севастополю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, л/с 04751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20600, ИНН 9102219091, КПП 910201001, ОКТМО 35701000, Банк получателя - Отделение  Республик</w:t>
      </w:r>
      <w:r w:rsidRPr="000910D0" w:rsidR="00E06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Крым; р/сч 40101810335100010001, БИК 043510001, КБК 180 1 16 90010 01 6000 140</w:t>
      </w:r>
      <w:r w:rsidRPr="000910D0" w:rsid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УИН 18036991191129000227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; назначение платежа: административный штраф, постановление № 05-0</w:t>
      </w:r>
      <w:r w:rsidRPr="000910D0" w:rsidR="000910D0">
        <w:rPr>
          <w:rFonts w:ascii="Times New Roman" w:hAnsi="Times New Roman" w:cs="Times New Roman"/>
          <w:color w:val="000000" w:themeColor="text1"/>
          <w:sz w:val="28"/>
          <w:szCs w:val="28"/>
        </w:rPr>
        <w:t>754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/16/201</w:t>
      </w:r>
      <w:r w:rsidRPr="000910D0" w:rsidR="00671CB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910D0" w:rsidR="000910D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10D0" w:rsidR="000910D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0910D0" w:rsidR="00402F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910D0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10D0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тизан, 3а).</w:t>
      </w:r>
    </w:p>
    <w:p w:rsidR="00454FB8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454FB8" w:rsidRPr="000910D0" w:rsidP="000910D0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0910D0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</w:t>
      </w:r>
      <w:r w:rsidRPr="000910D0">
        <w:rPr>
          <w:rFonts w:ascii="Times New Roman" w:hAnsi="Times New Roman"/>
          <w:sz w:val="28"/>
          <w:szCs w:val="28"/>
        </w:rPr>
        <w:t>(Центральный район городского округа Симферополя) в течение 10 суток со дня вручения или получения копии постановления.</w:t>
      </w:r>
    </w:p>
    <w:p w:rsidR="00454FB8" w:rsidRPr="000910D0" w:rsidP="000910D0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D8F" w:rsidRPr="000910D0" w:rsidP="000910D0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21B" w:rsidRPr="000910D0" w:rsidP="000910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0910D0" w:rsidR="00633138">
        <w:rPr>
          <w:rFonts w:ascii="Times New Roman" w:hAnsi="Times New Roman" w:cs="Times New Roman"/>
          <w:sz w:val="28"/>
          <w:szCs w:val="28"/>
        </w:rPr>
        <w:tab/>
      </w:r>
      <w:r w:rsidRPr="000910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290A">
        <w:rPr>
          <w:rFonts w:ascii="Times New Roman" w:hAnsi="Times New Roman" w:cs="Times New Roman"/>
          <w:sz w:val="28"/>
          <w:szCs w:val="28"/>
        </w:rPr>
        <w:tab/>
      </w:r>
      <w:r w:rsidR="0095290A">
        <w:rPr>
          <w:rFonts w:ascii="Times New Roman" w:hAnsi="Times New Roman" w:cs="Times New Roman"/>
          <w:sz w:val="28"/>
          <w:szCs w:val="28"/>
        </w:rPr>
        <w:tab/>
      </w:r>
      <w:r w:rsidRPr="000910D0">
        <w:rPr>
          <w:rFonts w:ascii="Times New Roman" w:hAnsi="Times New Roman" w:cs="Times New Roman"/>
          <w:sz w:val="28"/>
          <w:szCs w:val="28"/>
        </w:rPr>
        <w:t xml:space="preserve">   О.А. Чепиль</w:t>
      </w:r>
    </w:p>
    <w:p w:rsidR="00FE2C95" w:rsidRPr="000910D0" w:rsidP="0009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0910D0">
      <w:headerReference w:type="default" r:id="rId14"/>
      <w:pgSz w:w="11906" w:h="16838"/>
      <w:pgMar w:top="1440" w:right="851" w:bottom="1440" w:left="17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6"/>
    <w:rsid w:val="000910D0"/>
    <w:rsid w:val="000D7140"/>
    <w:rsid w:val="00113C66"/>
    <w:rsid w:val="00191518"/>
    <w:rsid w:val="001A63CC"/>
    <w:rsid w:val="00221F28"/>
    <w:rsid w:val="00290D8A"/>
    <w:rsid w:val="00372BCF"/>
    <w:rsid w:val="003B20FA"/>
    <w:rsid w:val="00402F5F"/>
    <w:rsid w:val="00454FB8"/>
    <w:rsid w:val="004B77E1"/>
    <w:rsid w:val="005735C4"/>
    <w:rsid w:val="005F5AE6"/>
    <w:rsid w:val="00612F6B"/>
    <w:rsid w:val="00631070"/>
    <w:rsid w:val="006327E4"/>
    <w:rsid w:val="00632DEE"/>
    <w:rsid w:val="00633138"/>
    <w:rsid w:val="006476D2"/>
    <w:rsid w:val="00671CB1"/>
    <w:rsid w:val="0068180D"/>
    <w:rsid w:val="00772FC5"/>
    <w:rsid w:val="00790243"/>
    <w:rsid w:val="007E6480"/>
    <w:rsid w:val="00903BB7"/>
    <w:rsid w:val="0091251C"/>
    <w:rsid w:val="0095290A"/>
    <w:rsid w:val="0096421B"/>
    <w:rsid w:val="0098181B"/>
    <w:rsid w:val="009E2A98"/>
    <w:rsid w:val="00A501B9"/>
    <w:rsid w:val="00AC57E4"/>
    <w:rsid w:val="00AE2CB1"/>
    <w:rsid w:val="00B35C2A"/>
    <w:rsid w:val="00B56FEB"/>
    <w:rsid w:val="00B74AFC"/>
    <w:rsid w:val="00B75336"/>
    <w:rsid w:val="00BF0EB9"/>
    <w:rsid w:val="00C0276D"/>
    <w:rsid w:val="00C211B6"/>
    <w:rsid w:val="00C96456"/>
    <w:rsid w:val="00D026C4"/>
    <w:rsid w:val="00E06D8F"/>
    <w:rsid w:val="00EF1AD1"/>
    <w:rsid w:val="00F35657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454FB8"/>
  </w:style>
  <w:style w:type="paragraph" w:styleId="NoSpacing">
    <w:name w:val="No Spacing"/>
    <w:uiPriority w:val="1"/>
    <w:qFormat/>
    <w:rsid w:val="00454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454FB8"/>
  </w:style>
  <w:style w:type="character" w:customStyle="1" w:styleId="apple-converted-space">
    <w:name w:val="apple-converted-space"/>
    <w:basedOn w:val="DefaultParagraphFont"/>
    <w:rsid w:val="00454FB8"/>
  </w:style>
  <w:style w:type="paragraph" w:styleId="Header">
    <w:name w:val="header"/>
    <w:basedOn w:val="Normal"/>
    <w:link w:val="a"/>
    <w:uiPriority w:val="99"/>
    <w:unhideWhenUsed/>
    <w:rsid w:val="004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FB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6FEB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B35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5C2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2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158A3F7CF19C567042C2052EDFDAAB4D4EF012B8A7C52A211CBC7F3E87E2D72DD43C8ECE6E2A8A68Q9Q" TargetMode="External" /><Relationship Id="rId11" Type="http://schemas.openxmlformats.org/officeDocument/2006/relationships/hyperlink" Target="consultantplus://offline/ref=1B158A3F7CF19C567042C2052EDFDAAB4D4EF012B8A7C52A211CBC7F3E87E2D72DD43C89CA6C62Q2Q" TargetMode="External" /><Relationship Id="rId12" Type="http://schemas.openxmlformats.org/officeDocument/2006/relationships/hyperlink" Target="consultantplus://offline/ref=B385A3D8B883327328F3827BDFAAFCBB652C9498F6CACAE972B24BB7B0B657B69195C2A9D639570ABAb4Q" TargetMode="External" /><Relationship Id="rId13" Type="http://schemas.openxmlformats.org/officeDocument/2006/relationships/hyperlink" Target="consultantplus://offline/ref=B385A3D8B883327328F3827BDFAAFCBB652C9498F6CACAE972B24BB7B0B657B69195C2ABD63BB5bAQ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3A62E837F8AFC0540AEA6A62929D6264C4E185AB9275D9476F03E538HEw9N" TargetMode="External" /><Relationship Id="rId5" Type="http://schemas.openxmlformats.org/officeDocument/2006/relationships/hyperlink" Target="consultantplus://offline/ref=D1E85E142FDAC2D38259CAAB4ACF26394F369457E490712961EA6B5D9F1181BB57CBBEACD5CDj1q2Q" TargetMode="External" /><Relationship Id="rId6" Type="http://schemas.openxmlformats.org/officeDocument/2006/relationships/hyperlink" Target="consultantplus://offline/ref=6E1AB03ED2BCB8BA1FFD1BF255ED9361AD3C9DBA5444A5AEA0B19B694AR040O" TargetMode="External" /><Relationship Id="rId7" Type="http://schemas.openxmlformats.org/officeDocument/2006/relationships/hyperlink" Target="consultantplus://offline/ref=3183C1E6AF74DCB8F1044B6BC63E3E6C5567372C0AF1E4964E111E3A171B5E2E7D368944A74B2F1108ECP" TargetMode="External" /><Relationship Id="rId8" Type="http://schemas.openxmlformats.org/officeDocument/2006/relationships/hyperlink" Target="consultantplus://offline/ref=3183C1E6AF74DCB8F1044B6BC63E3E6C5567372C0AF1E4964E111E3A171B5E2E7D368944A74B2E1708E1P" TargetMode="External" /><Relationship Id="rId9" Type="http://schemas.openxmlformats.org/officeDocument/2006/relationships/hyperlink" Target="consultantplus://offline/ref=0138A81E2A3378925988C7D364B1949CA3101D18D04DE4BD33C2050EC2t4rE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