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2F46" w:rsidRPr="00360DBD" w:rsidP="00360DB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D30" w:rsidRPr="00360DBD" w:rsidP="00360DB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DBD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360DBD" w:rsidR="00F63BFF">
        <w:rPr>
          <w:rFonts w:ascii="Times New Roman" w:eastAsia="Times New Roman" w:hAnsi="Times New Roman" w:cs="Times New Roman"/>
          <w:b/>
          <w:sz w:val="28"/>
          <w:szCs w:val="28"/>
        </w:rPr>
        <w:t>776</w:t>
      </w:r>
      <w:r w:rsidRPr="00360DBD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360DBD" w:rsidR="00DD7C08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511D30" w:rsidRPr="00360DBD" w:rsidP="00360DB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D30" w:rsidRPr="00360DBD" w:rsidP="00360DB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DB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62404" w:rsidRPr="00360DBD" w:rsidP="00360DB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360DBD" w:rsidP="00360DB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B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360DBD" w:rsidR="00D21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DBD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Pr="00360DBD" w:rsidR="00DD7C0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60DBD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360DBD" w:rsidR="00F410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60DBD">
        <w:rPr>
          <w:rFonts w:ascii="Times New Roman" w:eastAsia="Times New Roman" w:hAnsi="Times New Roman" w:cs="Times New Roman"/>
          <w:sz w:val="28"/>
          <w:szCs w:val="28"/>
        </w:rPr>
        <w:tab/>
      </w:r>
      <w:r w:rsidRPr="00360DB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360DBD" w:rsidR="00E6240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60DBD" w:rsidR="00F85F7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60DBD" w:rsidR="002571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360DBD" w:rsidR="00E624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60DBD" w:rsidR="00F410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60DBD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511D30" w:rsidRPr="00360DBD" w:rsidP="00360DB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30" w:rsidRPr="00360DBD" w:rsidP="00360DB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BD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360DBD" w:rsidR="00884300">
        <w:rPr>
          <w:rFonts w:ascii="Times New Roman" w:hAnsi="Times New Roman" w:cs="Times New Roman"/>
          <w:sz w:val="28"/>
          <w:szCs w:val="28"/>
        </w:rPr>
        <w:t xml:space="preserve">ый </w:t>
      </w:r>
      <w:r w:rsidRPr="00360DBD">
        <w:rPr>
          <w:rFonts w:ascii="Times New Roman" w:hAnsi="Times New Roman" w:cs="Times New Roman"/>
          <w:sz w:val="28"/>
          <w:szCs w:val="28"/>
        </w:rPr>
        <w:t>район</w:t>
      </w:r>
      <w:r w:rsidRPr="00360DBD" w:rsidR="00884300">
        <w:rPr>
          <w:rFonts w:ascii="Times New Roman" w:hAnsi="Times New Roman" w:cs="Times New Roman"/>
          <w:sz w:val="28"/>
          <w:szCs w:val="28"/>
        </w:rPr>
        <w:t xml:space="preserve"> </w:t>
      </w:r>
      <w:r w:rsidRPr="00360DBD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360D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0DBD" w:rsidR="00F41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DB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60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60DB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360D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60DB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60DBD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11D30" w:rsidRPr="00360DBD" w:rsidP="00360DB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360DBD" w:rsidP="00360DBD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BD">
        <w:rPr>
          <w:rFonts w:ascii="Times New Roman" w:hAnsi="Times New Roman" w:cs="Times New Roman"/>
          <w:sz w:val="28"/>
          <w:szCs w:val="28"/>
        </w:rPr>
        <w:t>п</w:t>
      </w:r>
      <w:r w:rsidRPr="00360DBD">
        <w:rPr>
          <w:rFonts w:ascii="Times New Roman" w:hAnsi="Times New Roman" w:cs="Times New Roman"/>
          <w:sz w:val="28"/>
          <w:szCs w:val="28"/>
        </w:rPr>
        <w:t xml:space="preserve">резидента </w:t>
      </w:r>
      <w:r w:rsidRPr="00360DBD" w:rsidR="0007551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360DBD">
        <w:rPr>
          <w:rFonts w:ascii="Times New Roman" w:hAnsi="Times New Roman" w:cs="Times New Roman"/>
          <w:sz w:val="28"/>
          <w:szCs w:val="28"/>
        </w:rPr>
        <w:t>Фирма «ТЭС»</w:t>
      </w:r>
      <w:r w:rsidRPr="00360DBD" w:rsidR="00075517">
        <w:rPr>
          <w:rFonts w:ascii="Times New Roman" w:hAnsi="Times New Roman" w:cs="Times New Roman"/>
          <w:sz w:val="28"/>
          <w:szCs w:val="28"/>
        </w:rPr>
        <w:t xml:space="preserve"> </w:t>
      </w:r>
      <w:r w:rsidRPr="00360DBD">
        <w:rPr>
          <w:rFonts w:ascii="Times New Roman" w:hAnsi="Times New Roman" w:cs="Times New Roman"/>
          <w:sz w:val="28"/>
          <w:szCs w:val="28"/>
        </w:rPr>
        <w:t>Бейма</w:t>
      </w:r>
      <w:r w:rsidRPr="00360DBD">
        <w:rPr>
          <w:rFonts w:ascii="Times New Roman" w:hAnsi="Times New Roman" w:cs="Times New Roman"/>
          <w:sz w:val="28"/>
          <w:szCs w:val="28"/>
        </w:rPr>
        <w:t xml:space="preserve"> Сергея Геннадиевича,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60D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1D30" w:rsidRPr="00360DBD" w:rsidP="00360DBD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360DBD" w:rsidP="00360DB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DBD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360DBD" w:rsidR="006909C6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360DBD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360DBD" w:rsidR="006909C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360D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0DBD" w:rsidR="006909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60DBD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правонарушениях,</w:t>
      </w:r>
    </w:p>
    <w:p w:rsidR="00511D30" w:rsidRPr="00360DBD" w:rsidP="00360DB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360DBD" w:rsidP="00360DB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DB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36C17" w:rsidRPr="00360DBD" w:rsidP="00360DB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cs="Times New Roman"/>
          <w:sz w:val="28"/>
          <w:szCs w:val="28"/>
        </w:rPr>
        <w:t>Бейм С.Г.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являясь президентом ООО «Фирма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«ТЭС»</w:t>
      </w:r>
      <w:r w:rsidRPr="00360DBD">
        <w:rPr>
          <w:rFonts w:ascii="Times New Roman" w:hAnsi="Times New Roman" w:cs="Times New Roman"/>
          <w:sz w:val="28"/>
          <w:szCs w:val="28"/>
        </w:rPr>
        <w:t xml:space="preserve">, 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расположенного по адресу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не выполнил в установленный срок, а именно до </w:t>
      </w:r>
      <w:r w:rsidRPr="00360DBD" w:rsidR="00F63BF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29 октября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201</w:t>
      </w:r>
      <w:r w:rsidRPr="00360DBD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года, </w:t>
      </w:r>
      <w:r w:rsidRPr="00360DBD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360DBD" w:rsidR="00884300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360DBD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. 1</w:t>
      </w:r>
      <w:r w:rsidRPr="00360DBD" w:rsidR="00884300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60DBD" w:rsidR="00F63BFF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360DBD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предписани</w:t>
      </w:r>
      <w:r w:rsidRPr="00360DBD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</w:t>
      </w:r>
      <w:r w:rsidRPr="00360DBD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360DBD" w:rsidR="00F63BFF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дсп</w:t>
      </w:r>
      <w:r w:rsidRPr="00360DBD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/2018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360DBD" w:rsidR="00F63BFF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.11.201</w:t>
      </w:r>
      <w:r w:rsidRPr="00360DBD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требования об устранении нарушений Федерального закона от 21.07.2011 № 256-ФЗ «О безопасности объектов топливно-энергетического комплекса», «Правил по обеспечению безопасности и антитеррористической защищенности объектов топливно-энергетического комплекса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», утвержденных постановлением Правительства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Российской Федерации от 05.05.2012 г. № 458 дсп, на объекте топливно-энергетического комплекса средней категории опасности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принадлежащег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о ООО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«Фирма «ТЭС» и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B34340" w:rsidP="00B3434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71CB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Бейм С.Г. не явился, </w:t>
      </w:r>
      <w:r w:rsidRPr="00671CB1">
        <w:rPr>
          <w:rFonts w:ascii="Times New Roman" w:hAnsi="Times New Roman" w:cs="Times New Roman"/>
          <w:sz w:val="28"/>
          <w:szCs w:val="28"/>
        </w:rPr>
        <w:t xml:space="preserve">о месте и времени слушания дела извещен надлежащим образом, о чем </w:t>
      </w:r>
      <w:r w:rsidRPr="00B34340">
        <w:rPr>
          <w:rFonts w:ascii="Times New Roman" w:hAnsi="Times New Roman" w:cs="Times New Roman"/>
          <w:sz w:val="28"/>
          <w:szCs w:val="28"/>
        </w:rPr>
        <w:t>свидетельствует имеющееся в материалах дела почтовое уведомление,</w:t>
      </w:r>
      <w:r w:rsidRPr="00B343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защитника </w:t>
      </w:r>
      <w:r>
        <w:rPr>
          <w:rFonts w:ascii="Times New Roman" w:hAnsi="Times New Roman" w:cs="Times New Roman"/>
          <w:sz w:val="28"/>
          <w:szCs w:val="28"/>
        </w:rPr>
        <w:t>Бейма С.Г.</w:t>
      </w:r>
      <w:r w:rsidRPr="00C027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C027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действующего на основании доверенности, поступило заявление о рассмотрении дела в его отсутствие и отсутствие Бейма С.Г., в котором также указывает, что Бейм С.Г. </w:t>
      </w:r>
      <w:r w:rsidRPr="00C0276D">
        <w:rPr>
          <w:rFonts w:ascii="Times New Roman" w:hAnsi="Times New Roman" w:eastAsiaTheme="minorHAnsi" w:cs="Times New Roman"/>
          <w:sz w:val="28"/>
          <w:szCs w:val="28"/>
          <w:lang w:eastAsia="en-US"/>
        </w:rPr>
        <w:t>вину в</w:t>
      </w:r>
      <w:r w:rsidRPr="00C027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0276D">
        <w:rPr>
          <w:rFonts w:ascii="Times New Roman" w:hAnsi="Times New Roman" w:eastAsiaTheme="minorHAnsi" w:cs="Times New Roman"/>
          <w:sz w:val="28"/>
          <w:szCs w:val="28"/>
          <w:lang w:eastAsia="en-US"/>
        </w:rPr>
        <w:t>совершении</w:t>
      </w:r>
      <w:r w:rsidRPr="00C027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правонарушения призн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ает</w:t>
      </w:r>
      <w:r w:rsidRPr="00C027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полн</w:t>
      </w:r>
      <w:r w:rsidRPr="00C027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ом объеме,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содеянном раскаивается и обязуется впредь правонарушения не совершать, </w:t>
      </w:r>
    </w:p>
    <w:p w:rsidR="00B34340" w:rsidRPr="00C0276D" w:rsidP="00B34340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6D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защитника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>, на основани</w:t>
      </w:r>
      <w:r w:rsidRPr="00C0276D">
        <w:rPr>
          <w:rFonts w:ascii="Times New Roman" w:eastAsia="Times New Roman" w:hAnsi="Times New Roman" w:cs="Times New Roman"/>
          <w:sz w:val="28"/>
          <w:szCs w:val="28"/>
        </w:rPr>
        <w:t>и ч. 2 ст.25.1 КоАП РФ.</w:t>
      </w:r>
    </w:p>
    <w:p w:rsidR="00B34340" w:rsidRPr="000910D0" w:rsidP="00B34340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910D0">
        <w:rPr>
          <w:rFonts w:ascii="Times New Roman" w:eastAsia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B034CE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Административная ответственность по ч.1 ст. 19.5 КоАП РФ наступает за  невыполнение в установленный срок законного пред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6945A7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Объектом данного административного правонарушения является установленный законом порядок управления, и в частности контрольно-надзорные правоотношения, возникающие между субъектами контроля (надзора) и субъектами, деятельность которых подвергается контролю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(надзору). </w:t>
      </w:r>
    </w:p>
    <w:p w:rsidR="00B034CE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Объективную сторону правонарушения составляет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227C8C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Организационные и пр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полномочия федеральных органов государств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еского комплекса, установлены Федеральным законом от 21 июля 2011 года N 256-ФЗ "О безопасности топливно-энергетического комплекса" (далее - Федеральный закон №256-ФЗ).</w:t>
      </w:r>
    </w:p>
    <w:p w:rsidR="00227C8C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части 1 статьи 7 названного выше Федерального закона №256-ФЗ требования обеспе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ерации. Указанные требования являются обязательными для выполнения субъектами топливно-энергетического комплекса.</w:t>
      </w:r>
    </w:p>
    <w:p w:rsidR="00227C8C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части 2 статьи 12 данного Федерального закона №256-ФЗ субъекты топливно-энергетического комплекса обязаны выполнять предписания, постан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овления должностных лиц уполномоченных органов исполнительной власти об устранении нарушений требований обеспечения безопасности объектов топливно-энергетического комплекса.</w:t>
      </w:r>
    </w:p>
    <w:p w:rsidR="00227C8C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В целях реализации положений Федерального закона от 21.07.2011 года №256-ФЗ Постан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овлением Правительства РФ от 05.05.2012 № 458, утверждены Правила по обеспечению безопасности и антитеррористической защищенности объектов топливно-энергетического комплекса.</w:t>
      </w:r>
    </w:p>
    <w:p w:rsidR="00227C8C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соответствии с пунктом 1 Правил от 5 мая 2012 года данные Правила устанавливаю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т требования по обеспечению безопасности и антитеррористической защищенности объектов топливно-энергетического комплекса Российской Федерации в зависимости от установленной категории опасности объектов.</w:t>
      </w:r>
    </w:p>
    <w:p w:rsidR="00227C8C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14 статьи 2 Федерального закона №256-ФЗ преду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смотрено,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печивает безопасность объектов топливно-энергетического комплекса и антитеррористическую защищенность объектов топливно-энергетического комплекса.</w:t>
      </w:r>
    </w:p>
    <w:p w:rsidR="00227C8C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части 4 статьи 6 Федерального закона №256-ФЗ федеральный государственный контроль (надзор) за обеспе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чением безопасности объектов топливно-энергетического комплекса осуществляется в порядке, установленном Правительством Российской Федерации, уполномоченными в соответствии с законодательством Российской Федерации федеральными органами исполнительной власти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(далее - уполномоченные федеральные органы исполнительной власти).</w:t>
      </w:r>
    </w:p>
    <w:p w:rsidR="000A3C94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Постановлением Правительства РФ от 20 октября 2016 года № 1067 утверждены Правила осуществления Федеральной службой войск национальной гвардии Российской Федерации и ее территориальными ор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ганами федерального государственного контроля (надзора) за обеспечением безопасности объектов топливно-энергетического комплекса.</w:t>
      </w:r>
    </w:p>
    <w:p w:rsidR="0018765B" w:rsidRPr="00360DBD" w:rsidP="00360D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рассмотрении дела установлено, что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DBD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расположенная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DBD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</w:t>
      </w:r>
      <w:r w:rsidRPr="00360DBD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объектом</w:t>
      </w:r>
      <w:r w:rsidRPr="00360DBD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топливно-энергетического комплекса и</w:t>
      </w:r>
      <w:r w:rsidRPr="00360DB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принадлежит ООО «Фирма ТЭС»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360DB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президентом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которого является </w:t>
      </w:r>
      <w:r w:rsidRPr="00360DBD" w:rsidR="008C6339">
        <w:rPr>
          <w:rFonts w:ascii="Times New Roman" w:hAnsi="Times New Roman" w:cs="Times New Roman"/>
          <w:sz w:val="28"/>
          <w:szCs w:val="28"/>
        </w:rPr>
        <w:t>Бейм С.Г.</w:t>
      </w:r>
      <w:r w:rsidRPr="00360DBD" w:rsidR="006613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B6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Указанный объект включен в реестр объектов топливно-энергетического комплекса Республик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и Крым с присвоенной средней категории опасности</w:t>
      </w:r>
      <w:r w:rsidRPr="00360DBD" w:rsidR="0088430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(реестровый номер №АТ-</w:t>
      </w:r>
      <w:r w:rsidRPr="00360DBD" w:rsidR="00665252">
        <w:rPr>
          <w:rFonts w:ascii="Times New Roman" w:hAnsi="Times New Roman" w:eastAsiaTheme="minorHAnsi" w:cs="Times New Roman"/>
          <w:sz w:val="28"/>
          <w:szCs w:val="28"/>
          <w:lang w:eastAsia="en-US"/>
        </w:rPr>
        <w:t>Э</w:t>
      </w:r>
      <w:r w:rsidRPr="00360DBD" w:rsidR="00884300">
        <w:rPr>
          <w:rFonts w:ascii="Times New Roman" w:hAnsi="Times New Roman" w:eastAsiaTheme="minorHAnsi" w:cs="Times New Roman"/>
          <w:sz w:val="28"/>
          <w:szCs w:val="28"/>
          <w:lang w:eastAsia="en-US"/>
        </w:rPr>
        <w:t>-91-000135</w:t>
      </w:r>
      <w:r w:rsidRPr="00360DBD" w:rsidR="00665252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360DBD" w:rsidR="0088430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360DBD" w:rsidR="0066525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23</w:t>
      </w:r>
      <w:r w:rsidRPr="00360DBD" w:rsidR="00884300">
        <w:rPr>
          <w:rFonts w:ascii="Times New Roman" w:hAnsi="Times New Roman" w:eastAsiaTheme="minorHAnsi" w:cs="Times New Roman"/>
          <w:sz w:val="28"/>
          <w:szCs w:val="28"/>
          <w:lang w:eastAsia="en-US"/>
        </w:rPr>
        <w:t>.06.2015 г.)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FF21D4" w:rsidRPr="00360DBD" w:rsidP="00360DBD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распоряжения Главного </w:t>
      </w:r>
      <w:r w:rsidRPr="00360DBD" w:rsidR="0018765B">
        <w:rPr>
          <w:rFonts w:ascii="Times New Roman" w:hAnsi="Times New Roman" w:eastAsiaTheme="minorHAnsi" w:cs="Times New Roman"/>
          <w:sz w:val="28"/>
          <w:szCs w:val="28"/>
          <w:lang w:eastAsia="en-US"/>
        </w:rPr>
        <w:t>управления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Федеральной службы войск национальной гвардии Российской Федерации по Респ</w:t>
      </w:r>
      <w:r w:rsidRPr="00360DBD" w:rsidR="0018765B">
        <w:rPr>
          <w:rFonts w:ascii="Times New Roman" w:hAnsi="Times New Roman" w:eastAsiaTheme="minorHAnsi" w:cs="Times New Roman"/>
          <w:sz w:val="28"/>
          <w:szCs w:val="28"/>
          <w:lang w:eastAsia="en-US"/>
        </w:rPr>
        <w:t>у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блике Крым и г. Севастополю от </w:t>
      </w:r>
      <w:r w:rsidRPr="00360DBD" w:rsidR="00665252">
        <w:rPr>
          <w:rFonts w:ascii="Times New Roman" w:hAnsi="Times New Roman" w:eastAsiaTheme="minorHAnsi" w:cs="Times New Roman"/>
          <w:sz w:val="28"/>
          <w:szCs w:val="28"/>
          <w:lang w:eastAsia="en-US"/>
        </w:rPr>
        <w:t>30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 w:rsidR="0066525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октября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2019 года №</w:t>
      </w:r>
      <w:r w:rsidRPr="00360DBD" w:rsidR="00665252">
        <w:rPr>
          <w:rFonts w:ascii="Times New Roman" w:hAnsi="Times New Roman" w:eastAsiaTheme="minorHAnsi" w:cs="Times New Roman"/>
          <w:sz w:val="28"/>
          <w:szCs w:val="28"/>
          <w:lang w:eastAsia="en-US"/>
        </w:rPr>
        <w:t>787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период с  </w:t>
      </w:r>
      <w:r w:rsidRPr="00360DBD" w:rsidR="00665252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360DBD" w:rsidR="00665252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360DBD" w:rsidR="00661386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по </w:t>
      </w:r>
      <w:r w:rsidRPr="00360DBD" w:rsidR="00665252">
        <w:rPr>
          <w:rFonts w:ascii="Times New Roman" w:hAnsi="Times New Roman" w:eastAsiaTheme="minorHAnsi" w:cs="Times New Roman"/>
          <w:sz w:val="28"/>
          <w:szCs w:val="28"/>
          <w:lang w:eastAsia="en-US"/>
        </w:rPr>
        <w:t>08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360DBD" w:rsidR="00665252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360DBD" w:rsidR="00661386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проведена</w:t>
      </w:r>
      <w:r w:rsidRPr="00360DBD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 w:rsidR="00227C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внеплановой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выездной </w:t>
      </w:r>
      <w:r w:rsidRPr="00360DBD" w:rsidR="00227C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проверки объекта топливно-энергетического комплекса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60DBD" w:rsidR="00227C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360DB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принадлежащего ООО «Фирма ТЭС» </w:t>
      </w:r>
      <w:r w:rsidRPr="00360DBD">
        <w:rPr>
          <w:rFonts w:ascii="Times New Roman" w:hAnsi="Times New Roman" w:cs="Times New Roman"/>
          <w:sz w:val="28"/>
          <w:szCs w:val="28"/>
        </w:rPr>
        <w:t xml:space="preserve">и </w:t>
      </w:r>
      <w:r w:rsidRPr="00360DBD" w:rsidR="00227C8C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расположенно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 w:rsidRPr="00360DBD" w:rsidR="00227C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60DBD" w:rsidR="00227C8C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360DBD" w:rsidR="000317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 w:rsidR="00227C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выявлено, что </w:t>
      </w:r>
      <w:r w:rsidRPr="00360DBD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президент ООО «Фирма ТЭС» </w:t>
      </w:r>
      <w:r w:rsidRPr="00360DBD" w:rsidR="008C6339">
        <w:rPr>
          <w:rFonts w:ascii="Times New Roman" w:hAnsi="Times New Roman" w:cs="Times New Roman"/>
          <w:sz w:val="28"/>
          <w:szCs w:val="28"/>
        </w:rPr>
        <w:t>Бейм С.Г.</w:t>
      </w:r>
      <w:r w:rsidRPr="00360DBD" w:rsidR="00227C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выполн</w:t>
      </w:r>
      <w:r w:rsidRPr="00360DBD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>ил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установленный срок, а именно до </w:t>
      </w:r>
      <w:r w:rsidRPr="00360DBD" w:rsidR="00AE761B">
        <w:rPr>
          <w:rFonts w:ascii="Times New Roman" w:hAnsi="Times New Roman" w:eastAsiaTheme="minorHAnsi" w:cs="Times New Roman"/>
          <w:sz w:val="28"/>
          <w:szCs w:val="28"/>
          <w:lang w:eastAsia="en-US"/>
        </w:rPr>
        <w:t>01 августа 2019 года</w:t>
      </w:r>
      <w:r w:rsidRPr="00360DBD" w:rsidR="0003175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 w:rsidRPr="00360DBD" w:rsidR="0003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14.08.2019 г. Главным управлением Росгвардии по Республике Крым и городу Севастополю  срок исполнения предписания </w:t>
      </w:r>
      <w:r w:rsidRPr="00360DBD" w:rsidR="00031758">
        <w:rPr>
          <w:rFonts w:ascii="Times New Roman" w:hAnsi="Times New Roman" w:eastAsiaTheme="minorHAnsi" w:cs="Times New Roman"/>
          <w:sz w:val="28"/>
          <w:szCs w:val="28"/>
          <w:lang w:eastAsia="en-US"/>
        </w:rPr>
        <w:t>№ 28дсп/2018 от 23.11.2018 г</w:t>
      </w:r>
      <w:r w:rsidRPr="00360DBD" w:rsidR="00031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продлен до 29.10.2019 г.</w:t>
      </w:r>
      <w:r w:rsidRPr="00360DBD" w:rsidR="00031758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360DBD" w:rsidR="00AE761B">
        <w:rPr>
          <w:rFonts w:ascii="Times New Roman" w:hAnsi="Times New Roman" w:eastAsiaTheme="minorHAnsi" w:cs="Times New Roman"/>
          <w:sz w:val="28"/>
          <w:szCs w:val="28"/>
          <w:lang w:eastAsia="en-US"/>
        </w:rPr>
        <w:t>, пп. 1-9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предписания №2</w:t>
      </w:r>
      <w:r w:rsidRPr="00360DBD" w:rsidR="00AE761B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дсп/2018 от 16.11.2018 г.</w:t>
      </w:r>
      <w:r w:rsidRPr="00360DBD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устранении нарушений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Федерального закона от 21.07.2011 № 256-ФЗ «О безопасности объектов топливно-энергетического комплекса», «Правил по обеспечению безопасности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антитеррористической защищенности объектов топливно-энергетического комплекса», утвержденных постановлением Прави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тельства Российской Федерации от 05.05.2012 г. № 458 дсп, а именно: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 1. В части не исполнения п. 1 Предписания — приведение в соответствие системы физической защиты: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пп. «а» п. 3 приложения № 1 Правил досмотровые мероприятия при проходе на кр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итические элементы объекта не обеспечены.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23-53 Правил ежегодный анализ уязвимости, по результатам которого необходимо составить акт обследования объекта и техническое задание на проектирование (модернизацию, реконструкцию) инженерно-техни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ческих средств охраны. Экземпляры акта обследования направить в адрес антитеррористической комиссии в субъекте Российской Федерации и Министерство энергетики Российской Федерации не проведен.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2. В части не исполнения п. 2 Предписания — приведение в соответ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ствие инженерно-технических средств защиты: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65 Правил железобетонные блоки или столбы перед постом охраны поскольку данные помещения являются составной частью периметра объекта и выходят на неохраняемую территорию не установлены;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ение п. 71, 95 Правил запретная зона не определена;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96,97 Правил зона (полоса) отторжения не определена;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81, 82 Правил на основном ограждении установить верхнее дополнительное ограждение, выполненное в виде противоперелазн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 козырька на основе спиральной или плоской армированной колючей ленты;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81, 83, 84 Правил под основным ограждением нижнее дополнительное ограждение не установлено;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 85 Правил дополнительное ограждение на крышах и стенах зд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аний являющихся составной частью периметр не установлено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86 Правил и пп. «в» п. 1 Приложения № 1 Правил с внешней стороны основного ограждения просматриваемое предупредительное ограждение не установлено;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87, 88 Правил крит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ические элементы и досмотровые площадки контрольно-пропускных пунктов предупредительным ограждением, выполненным из металлической сетки или прутков, армированной колючей ленты не оборудованы;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90, 104, 106, 108 Правил для обозначения границ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участков постов разграничительные знаки не установлены;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99 Правил на объекте наблюдательные вышки, обеспечивающей защиту контролера (постового) от поражения стрелковым оружием не установлены;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101, 126 Правил контрольно-пр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опускные пункты не оборудованы;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в нарушение п. 103, 116 Правил для обеспечения безопасности сотрудников охраны оконные и дверные проемы совмещенного контрольно-пропускного пункта защитными конструкциями не оборудованы; 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114 Правил помеще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ние операторов технических средств охраны не оборудованы;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116 Правил оснащение калитки для прохода людей и входной двери в помещение контрольно-пропускного пункта переговорным устройством, смотровым глазком не оборудованы;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117 Правил хороший обзор и защита контролера (постового) от нападения на контрольно-пропускном пункте не обеспечены;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118 Правил на совмещенном контрольно-пропускном пункте комната досмотра не оборудована;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в нарушение п.  129-135, 139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 досмотровые площадки на контрольно-пропускных пунктах не установлены и не оборудованы соответствующим образом;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136 Правил поперечную линию и надпись «Стоп»  перед въездом на досмотровую площадку с внешней стороны основных и вспомога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тельных ворот не нанесена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137 Правил при подъезде к объекту дорожные запрещающие знаки не установлены;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138, 145 Правил противотаранные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заграждения, предназначенные для остановки автотранспортных средств, выполненное в виде железобетонного цоколя основного ограждения, барьера из железобетонных блоков, специального шлагбаума, а также другой конструкции, создающей гарантированное препятстви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е переезду или пролому не установлены;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141 Правил ворота совмещенного контрольно-пропускного пункта для проезда автомобильного транспорта электромеханическим приводом управления не оборудованы;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154 Правил ворота контрольно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-пропускного пункта железнодорожного транспорта средствами сигнализации, электромеханическими приводами с блокировкой не оборудованы;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151, 152, 157 Правил досмотровые площадки для железнодорожного транспорта не установлены;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в нарушение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п. 158 Правил на объекте наличие спаренных тормозных башмаков для железнодорожного транспорта, которые предназначены для предотвращения несанкционированного проезда при досмотре железнодорожного состава не обеспечено.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3. В части не исполнения п. 3 Предписа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ния — приведение в соответствие  системы охранной сигнализации: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170-185 Правил, весь периметр объекта системой охранной сигнализации не оборудован, сопряжение с другими системами комплекса инженерно-технических средств охраны — системой ох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ранной телевизионной, системой сбора и обработки информации, системой контроля и управления доступом не обеспечено;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177 Правил, п. 5 Приложения № 1 Правил периметр объекта, выделенные зоны охраны, уязвимые зоны и критические элементы объек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та периметральными средствами обнаружения или охранными извещателями не оборудованы, вывод тревожной информации на пункт централизованной охраны не реализован;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112 Правил входы на контрольно-пропускные пункты средствами охранной сигнализац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ии не оборудованы;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пп. «а» п. 7 приложения № 1 к Правилам помещения объекта, критические элементы стационарными кнопками для подачи извещения о тревоге с выводом на объектовый пункт централизованной охраны не оборудованы.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4. В части не исполн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ения п. 4 Предписания — приведение в соответствие  систему сбора и обработки информации: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186-198 Правил система сбора и обработки информации в полной мере не реализована;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14 приложения № 1 к Правилам, п. 199 - 203 Правил о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тсутствует пункт централизованной охраны объекта.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5. В части не исполнения п. 5 Предписания — приведение в соответствие системы контроля и управления доступом: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- в нарушение п. 204-211 Правил, на объекте система контроля и управления доступом не установле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на, не интегрирована с системой охранной сигнализации;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пп. «а» п. 3 Приложения № 1 Правил на объекте возможность двойной идентификации не реализована.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7. В части не исполнение п. 7 Предписания — приведение в соответствие системы охранной тел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евизионной: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227, 231, 232 Правил объективный контроль за обстановкой в охранных зонах и на прилегающей территории объекта, передачу визуальной информации о состоянии периметра, контролируемых зонах на назначенные посты охраны и пункт центр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ализованной охраны не обеспечен;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239 Правил на объекте периферийные технические средства системы охранной телевизионной со встроенной функцией обнаружения движущейся цели (видеодетектор) не установлены.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8. В части не исполнения п. 8 Предпи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сания — приведение в соответствие системы оперативной связи: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242 Правил, пп. «д» п. 10 Приложения к Правилам на совмещенном контрольно-пропускном пункте выход в проводную городскую телефонную сеть не обеспечен;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пп. «а» «в» п.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10 приложения №1 к Правилам оснащение объекта объектовыми стационарными радиостанциями и объектовыми средствами проводной связи не обеспечено.</w:t>
      </w:r>
    </w:p>
    <w:p w:rsidR="005A216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9. В части не исполнения п. 9 Предписания об устранении выявленных нарушений в части приведения в соответствие с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истему охранного освещения:</w:t>
      </w:r>
    </w:p>
    <w:p w:rsidR="00661386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- в нарушение п. 247-258 Правил на объекте наличие охранного освещения объекта не обеспечено.</w:t>
      </w:r>
    </w:p>
    <w:p w:rsidR="00661386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выявленных нарушений, </w:t>
      </w:r>
      <w:r w:rsidRPr="00360DBD" w:rsidR="005A216B">
        <w:rPr>
          <w:rFonts w:ascii="Times New Roman" w:hAnsi="Times New Roman" w:eastAsiaTheme="minorHAnsi" w:cs="Times New Roman"/>
          <w:sz w:val="28"/>
          <w:szCs w:val="28"/>
          <w:lang w:eastAsia="en-US"/>
        </w:rPr>
        <w:t>04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360DBD" w:rsidR="005A216B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.2019 г. должностным лицом Главного управления Росгвардии по Республике Крым и г. Севастополю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составлен протокол об административном правонарушении, предусмотренном ч. 1 ст. 19.5 Кодекса Российской Федерации об административном правонарушении в отношении президента ООО «Фирма «ТЭС»  Бейма С.Г.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</w:t>
      </w:r>
      <w:r w:rsidRPr="00360DBD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президентом ООО «Фирма «ТЭС»  Беймом С.Г.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административного правонарушения, предусмотренного </w:t>
      </w:r>
      <w:r w:rsidRPr="00360DBD"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ч.1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360DBD"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360DBD"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административном правонарушении подтверждается:  протоколом № 91 ПГК 009 </w:t>
      </w:r>
      <w:r w:rsidRPr="00360DBD" w:rsidR="005A216B">
        <w:rPr>
          <w:rFonts w:ascii="Times New Roman" w:hAnsi="Times New Roman" w:eastAsiaTheme="minorHAnsi" w:cs="Times New Roman"/>
          <w:sz w:val="28"/>
          <w:szCs w:val="28"/>
          <w:lang w:eastAsia="en-US"/>
        </w:rPr>
        <w:t>041219</w:t>
      </w:r>
      <w:r w:rsidRPr="00360DBD" w:rsidR="0066138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 w:rsidR="00BF0C6B">
        <w:rPr>
          <w:rFonts w:ascii="Times New Roman" w:hAnsi="Times New Roman" w:eastAsiaTheme="minorHAnsi" w:cs="Times New Roman"/>
          <w:sz w:val="28"/>
          <w:szCs w:val="28"/>
          <w:lang w:eastAsia="en-US"/>
        </w:rPr>
        <w:t>0000</w:t>
      </w:r>
      <w:r w:rsidRPr="00360DBD" w:rsidR="005A216B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360DBD" w:rsidR="00BF0C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административном правонарушении от </w:t>
      </w:r>
      <w:r w:rsidRPr="00360DBD" w:rsidR="005A216B">
        <w:rPr>
          <w:rFonts w:ascii="Times New Roman" w:hAnsi="Times New Roman" w:eastAsiaTheme="minorHAnsi" w:cs="Times New Roman"/>
          <w:sz w:val="28"/>
          <w:szCs w:val="28"/>
          <w:lang w:eastAsia="en-US"/>
        </w:rPr>
        <w:t>04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360DBD" w:rsidR="005A216B">
        <w:rPr>
          <w:rFonts w:ascii="Times New Roman" w:hAnsi="Times New Roman" w:eastAsiaTheme="minorHAnsi" w:cs="Times New Roman"/>
          <w:sz w:val="28"/>
          <w:szCs w:val="28"/>
          <w:lang w:eastAsia="en-US"/>
        </w:rPr>
        <w:t>12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360DBD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г.,</w:t>
      </w:r>
      <w:r w:rsidRPr="00360DBD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 w:rsidR="005A216B">
        <w:rPr>
          <w:rFonts w:ascii="Times New Roman" w:hAnsi="Times New Roman" w:eastAsiaTheme="minorHAnsi" w:cs="Times New Roman"/>
          <w:sz w:val="28"/>
          <w:szCs w:val="28"/>
          <w:lang w:eastAsia="en-US"/>
        </w:rPr>
        <w:t>копией приказа ООО «Фирма «ТЭС» №258 от 08.09.2015 г.,</w:t>
      </w:r>
      <w:r w:rsidRPr="00360DBD" w:rsidR="00FB1D4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Устава ООО «Фирма «ТЭС», выпиской из ЕГРЮЛ, информацией Главного управления Росгвардии по Республике Крым и г. Севастополю от 14.08.2019 г. №467/9-3340,  </w:t>
      </w:r>
      <w:r w:rsidRPr="00360DBD" w:rsidR="00FB1D4F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Распоряжением Главного управления Росгвардии по Республике Крым и г. Севастополю от 30.10.2019 г. №787, актом проверки №44/2019 от 08.11.2019 г., актом проверки №55дсп/2018 от 23.11.2018 г., предписанием №28дсп/2018 от 23.11.2018 г.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статьей 2.4 Кодекса Российской Федерации об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примечания к указ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8081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8081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Процессуальных нарушений и обстоятельств, исключающих производство по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60DB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  Бейма С.Г.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составлении протокола об административном правонар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ушении нарушены не были.         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Оценив изложенные</w:t>
      </w:r>
      <w:r w:rsidRPr="00360DBD" w:rsidR="00DE59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выше доказательства, в их совокупности, в соответствии с требованиями ст. 26.11 КоАП РФ, прихожу к выводу о виновности </w:t>
      </w:r>
      <w:r w:rsidRPr="00360DB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Бейма С.Г.</w:t>
      </w:r>
      <w:r w:rsidRPr="00360DBD" w:rsidR="00DE59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как должностного лица - </w:t>
      </w:r>
      <w:r w:rsidRPr="00360DBD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, в совершении админис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тративного правонарушения, предусмотренного </w:t>
      </w:r>
      <w:r w:rsidRPr="00360DBD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360DBD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360DBD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58081B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суд, в соответствии с требованиями ст.4.1 КоАП РФ, учитывает характер совершённого административного прав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34340" w:rsidRPr="00BD5862" w:rsidP="00B343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862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Бейма С.Г</w:t>
      </w:r>
      <w:r w:rsidRPr="00BD5862">
        <w:rPr>
          <w:rFonts w:ascii="Times New Roman" w:eastAsia="Times New Roman" w:hAnsi="Times New Roman" w:cs="Times New Roman"/>
          <w:sz w:val="28"/>
          <w:szCs w:val="28"/>
        </w:rPr>
        <w:t>., является признание вины, раскаяние в содеянном.</w:t>
      </w:r>
    </w:p>
    <w:p w:rsidR="00257169" w:rsidRPr="00360DBD" w:rsidP="00360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</w:t>
      </w: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>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257169" w:rsidRPr="00360DBD" w:rsidP="00360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абз.2 п. 16 Постановления Пленума Верховного С</w:t>
      </w: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>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</w:t>
      </w: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установлена ли </w:t>
      </w: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административная ответственность за совершенные правонарушения в одной или нескольких статьях КоАП РФ.</w:t>
      </w:r>
    </w:p>
    <w:p w:rsidR="00257169" w:rsidRPr="00360DBD" w:rsidP="00360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</w:t>
      </w: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>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57169" w:rsidRPr="00360DBD" w:rsidP="00360D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  Бейма С.Г.</w:t>
      </w: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срока, установлен</w:t>
      </w: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>ного ст. 4.6 КоАП РФ к административной ответственности за совершение административных правонарушений, предусмотренных ч. 1 ст. 19.5 КоАП,  свидетельствующие о наличии в его действиях обстоятельства, отягчающего административную ответственность, предусмотр</w:t>
      </w:r>
      <w:r w:rsidRPr="00360DBD">
        <w:rPr>
          <w:rFonts w:ascii="Times New Roman" w:eastAsia="Calibri" w:hAnsi="Times New Roman" w:cs="Times New Roman"/>
          <w:sz w:val="28"/>
          <w:szCs w:val="28"/>
          <w:lang w:eastAsia="en-US"/>
        </w:rPr>
        <w:t>енного пунктом 2 части 1 статьи 4.3 КоАП РФ.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судья считает необходимым назначить </w:t>
      </w:r>
      <w:r w:rsidRPr="00360DBD"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президенту ООО «Фирма «ТЭС»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Бейму С.Г.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административное наказание в виде штрафа, в </w:t>
      </w:r>
      <w:r w:rsidRPr="00360DBD" w:rsid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пределах санкции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данной части статьи.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изложенного, руководствуясь </w:t>
      </w:r>
      <w:r w:rsidRPr="00360DB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ст.</w:t>
      </w:r>
      <w:r w:rsidRPr="00360DB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360DB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ст. ст. 29.10, 29.11 Кодекса Российской Фед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ерации об администра</w:t>
      </w:r>
      <w:r w:rsidRPr="00360DBD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тивных </w:t>
      </w:r>
      <w:r w:rsidRPr="00360DBD" w:rsidR="001A68C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правонарушениях, мировой судья –</w:t>
      </w:r>
    </w:p>
    <w:p w:rsidR="001A68C3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55330" w:rsidRPr="00360DBD" w:rsidP="00360DBD">
      <w:pPr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ПОСТАНОВИЛ: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Признать </w:t>
      </w:r>
      <w:r w:rsidRPr="00360DBD"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Общества с ограниченной ответственностью «Фирма «ТЭС» Бейма Сергея Геннадиевича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виновным в совершении правонарушения, предусмотренного  </w:t>
      </w:r>
      <w:r w:rsidRPr="00360DB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360DB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360DBD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5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 назначить ему</w:t>
      </w:r>
      <w:r w:rsidRPr="00360DBD" w:rsidR="00732EA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административное наказание в виде административного штрафа в размере </w:t>
      </w:r>
      <w:r w:rsidRPr="00360DBD" w:rsidR="00D4208C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360DBD" w:rsidR="00850693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360DBD" w:rsidR="00D4208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00 (одна тысяча </w:t>
      </w:r>
      <w:r w:rsidRPr="00360DBD" w:rsidR="00850693">
        <w:rPr>
          <w:rFonts w:ascii="Times New Roman" w:hAnsi="Times New Roman" w:eastAsiaTheme="minorHAnsi" w:cs="Times New Roman"/>
          <w:sz w:val="28"/>
          <w:szCs w:val="28"/>
          <w:lang w:eastAsia="en-US"/>
        </w:rPr>
        <w:t>двести</w:t>
      </w:r>
      <w:r w:rsidRPr="00360DBD" w:rsidR="00D4208C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рублей.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Реквизиты для уплаты штрафа: получатель - Управление Росгвардии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Крым, л/с 04751D20600, ИНН 9102219091, КПП 910201001, ОКТМО 35701000, Банк получателя - </w:t>
      </w:r>
      <w:r w:rsidRPr="00360DBD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тделение Республик</w:t>
      </w:r>
      <w:r w:rsidRPr="00360DBD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Крым; р/сч 40101810335100010001,</w:t>
      </w:r>
      <w:r w:rsidRPr="00360DBD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БИК 043510001, КБК 180 1 16 90010 01 6000 140;</w:t>
      </w:r>
      <w:r w:rsidRPr="00360DBD" w:rsid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УИН 18046991191204000230;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назначение платежа: админи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стративный штраф, постановление № 05-0</w:t>
      </w:r>
      <w:r w:rsidRPr="00360DBD" w:rsid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776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/16/201</w:t>
      </w:r>
      <w:r w:rsidRPr="00360DBD" w:rsid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360DBD" w:rsid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25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360DBD" w:rsidR="00FA25D5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360DBD" w:rsid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360DBD" w:rsid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законную силу либо со дня отсрочки или рассрочки, предусмотренных статьей 31.5 КоАП РФ.</w:t>
      </w:r>
    </w:p>
    <w:p w:rsidR="00257169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(Центральный район городского округа Симферополя) Республики Крым (г. Симферополь, ул. Крымских Партизан, 3а).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Центральный районный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55330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257169" w:rsidRPr="00360DBD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B4025" w:rsidP="00360DBD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360DBD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</w:t>
      </w:r>
      <w:r w:rsidRPr="00360DBD" w:rsidR="00432D8A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360DBD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  <w:r w:rsidRPr="00360DB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О.А. Чепиль</w:t>
      </w:r>
    </w:p>
    <w:p w:rsidR="00F1247F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360DBD">
      <w:headerReference w:type="default" r:id="rId4"/>
      <w:pgSz w:w="11906" w:h="16838"/>
      <w:pgMar w:top="703" w:right="709" w:bottom="851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57AC3834"/>
    <w:multiLevelType w:val="hybridMultilevel"/>
    <w:tmpl w:val="455C608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19" w:hanging="360"/>
      </w:pPr>
    </w:lvl>
    <w:lvl w:ilvl="2" w:tentative="1">
      <w:start w:val="1"/>
      <w:numFmt w:val="lowerRoman"/>
      <w:lvlText w:val="%3."/>
      <w:lvlJc w:val="right"/>
      <w:pPr>
        <w:ind w:left="2339" w:hanging="180"/>
      </w:pPr>
    </w:lvl>
    <w:lvl w:ilvl="3" w:tentative="1">
      <w:start w:val="1"/>
      <w:numFmt w:val="decimal"/>
      <w:lvlText w:val="%4."/>
      <w:lvlJc w:val="left"/>
      <w:pPr>
        <w:ind w:left="3059" w:hanging="360"/>
      </w:pPr>
    </w:lvl>
    <w:lvl w:ilvl="4" w:tentative="1">
      <w:start w:val="1"/>
      <w:numFmt w:val="lowerLetter"/>
      <w:lvlText w:val="%5."/>
      <w:lvlJc w:val="left"/>
      <w:pPr>
        <w:ind w:left="3779" w:hanging="360"/>
      </w:pPr>
    </w:lvl>
    <w:lvl w:ilvl="5" w:tentative="1">
      <w:start w:val="1"/>
      <w:numFmt w:val="lowerRoman"/>
      <w:lvlText w:val="%6."/>
      <w:lvlJc w:val="right"/>
      <w:pPr>
        <w:ind w:left="4499" w:hanging="180"/>
      </w:pPr>
    </w:lvl>
    <w:lvl w:ilvl="6" w:tentative="1">
      <w:start w:val="1"/>
      <w:numFmt w:val="decimal"/>
      <w:lvlText w:val="%7."/>
      <w:lvlJc w:val="left"/>
      <w:pPr>
        <w:ind w:left="5219" w:hanging="360"/>
      </w:pPr>
    </w:lvl>
    <w:lvl w:ilvl="7" w:tentative="1">
      <w:start w:val="1"/>
      <w:numFmt w:val="lowerLetter"/>
      <w:lvlText w:val="%8."/>
      <w:lvlJc w:val="left"/>
      <w:pPr>
        <w:ind w:left="5939" w:hanging="360"/>
      </w:pPr>
    </w:lvl>
    <w:lvl w:ilvl="8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1451"/>
    <w:rsid w:val="00002B0C"/>
    <w:rsid w:val="00005197"/>
    <w:rsid w:val="00007C08"/>
    <w:rsid w:val="00031758"/>
    <w:rsid w:val="00036C5E"/>
    <w:rsid w:val="0007517B"/>
    <w:rsid w:val="00075517"/>
    <w:rsid w:val="000764BB"/>
    <w:rsid w:val="000809C4"/>
    <w:rsid w:val="000910D0"/>
    <w:rsid w:val="000A3C94"/>
    <w:rsid w:val="000A5FD4"/>
    <w:rsid w:val="000B0830"/>
    <w:rsid w:val="000B3EAB"/>
    <w:rsid w:val="000D46C3"/>
    <w:rsid w:val="000F0DC9"/>
    <w:rsid w:val="000F4F7E"/>
    <w:rsid w:val="00102572"/>
    <w:rsid w:val="0011625A"/>
    <w:rsid w:val="00124862"/>
    <w:rsid w:val="00131755"/>
    <w:rsid w:val="0014214A"/>
    <w:rsid w:val="00156AF7"/>
    <w:rsid w:val="00162D53"/>
    <w:rsid w:val="00183A70"/>
    <w:rsid w:val="0018765B"/>
    <w:rsid w:val="00195A96"/>
    <w:rsid w:val="001A68C3"/>
    <w:rsid w:val="001B2C18"/>
    <w:rsid w:val="001F6421"/>
    <w:rsid w:val="0021233D"/>
    <w:rsid w:val="00227C8C"/>
    <w:rsid w:val="00240810"/>
    <w:rsid w:val="00245B5C"/>
    <w:rsid w:val="00255381"/>
    <w:rsid w:val="002562C7"/>
    <w:rsid w:val="00257169"/>
    <w:rsid w:val="00275212"/>
    <w:rsid w:val="002A413F"/>
    <w:rsid w:val="002A7625"/>
    <w:rsid w:val="002B0141"/>
    <w:rsid w:val="002B2164"/>
    <w:rsid w:val="002D197C"/>
    <w:rsid w:val="002D75B8"/>
    <w:rsid w:val="002E6C2A"/>
    <w:rsid w:val="002F14B0"/>
    <w:rsid w:val="00306620"/>
    <w:rsid w:val="00312A7C"/>
    <w:rsid w:val="00314FAC"/>
    <w:rsid w:val="00320BBD"/>
    <w:rsid w:val="00326F70"/>
    <w:rsid w:val="00360DBD"/>
    <w:rsid w:val="003827F2"/>
    <w:rsid w:val="003A1B4A"/>
    <w:rsid w:val="003D10E0"/>
    <w:rsid w:val="003E7962"/>
    <w:rsid w:val="003F33D1"/>
    <w:rsid w:val="004157E8"/>
    <w:rsid w:val="00432D8A"/>
    <w:rsid w:val="00443F11"/>
    <w:rsid w:val="0049654A"/>
    <w:rsid w:val="004B4025"/>
    <w:rsid w:val="004E134F"/>
    <w:rsid w:val="004F60F2"/>
    <w:rsid w:val="0050066F"/>
    <w:rsid w:val="0050222E"/>
    <w:rsid w:val="00511D30"/>
    <w:rsid w:val="00522C1F"/>
    <w:rsid w:val="005560A8"/>
    <w:rsid w:val="0057788C"/>
    <w:rsid w:val="0058081B"/>
    <w:rsid w:val="00596D99"/>
    <w:rsid w:val="005A216B"/>
    <w:rsid w:val="005B3600"/>
    <w:rsid w:val="005C028E"/>
    <w:rsid w:val="005C09A6"/>
    <w:rsid w:val="005E1BF2"/>
    <w:rsid w:val="005F356D"/>
    <w:rsid w:val="006068AF"/>
    <w:rsid w:val="00607638"/>
    <w:rsid w:val="0062794E"/>
    <w:rsid w:val="0064337E"/>
    <w:rsid w:val="00652D11"/>
    <w:rsid w:val="00655330"/>
    <w:rsid w:val="00661386"/>
    <w:rsid w:val="006615F4"/>
    <w:rsid w:val="00665252"/>
    <w:rsid w:val="0066724D"/>
    <w:rsid w:val="00671CB1"/>
    <w:rsid w:val="006909C6"/>
    <w:rsid w:val="006945A7"/>
    <w:rsid w:val="00696868"/>
    <w:rsid w:val="006A4B00"/>
    <w:rsid w:val="006B328B"/>
    <w:rsid w:val="006B726E"/>
    <w:rsid w:val="006C01E2"/>
    <w:rsid w:val="006C7750"/>
    <w:rsid w:val="006C7C5C"/>
    <w:rsid w:val="006D6275"/>
    <w:rsid w:val="006E4D54"/>
    <w:rsid w:val="006E5E49"/>
    <w:rsid w:val="006E6645"/>
    <w:rsid w:val="006F357C"/>
    <w:rsid w:val="007065AC"/>
    <w:rsid w:val="00727B9C"/>
    <w:rsid w:val="00732EAD"/>
    <w:rsid w:val="00735B20"/>
    <w:rsid w:val="00754AD6"/>
    <w:rsid w:val="00754C73"/>
    <w:rsid w:val="007974B9"/>
    <w:rsid w:val="007A6DFB"/>
    <w:rsid w:val="007B406F"/>
    <w:rsid w:val="007B7A55"/>
    <w:rsid w:val="007E28CD"/>
    <w:rsid w:val="007E6D19"/>
    <w:rsid w:val="00807719"/>
    <w:rsid w:val="00816ADF"/>
    <w:rsid w:val="00830572"/>
    <w:rsid w:val="00836605"/>
    <w:rsid w:val="00847DC8"/>
    <w:rsid w:val="00850693"/>
    <w:rsid w:val="0086573A"/>
    <w:rsid w:val="00884300"/>
    <w:rsid w:val="008A7859"/>
    <w:rsid w:val="008C3494"/>
    <w:rsid w:val="008C6339"/>
    <w:rsid w:val="008E19AE"/>
    <w:rsid w:val="00902F98"/>
    <w:rsid w:val="009040B5"/>
    <w:rsid w:val="00912454"/>
    <w:rsid w:val="009276F4"/>
    <w:rsid w:val="0095639C"/>
    <w:rsid w:val="00970F27"/>
    <w:rsid w:val="009B743F"/>
    <w:rsid w:val="009D6F17"/>
    <w:rsid w:val="009E1492"/>
    <w:rsid w:val="00A127F4"/>
    <w:rsid w:val="00A234DE"/>
    <w:rsid w:val="00A44ED1"/>
    <w:rsid w:val="00A65C61"/>
    <w:rsid w:val="00A84324"/>
    <w:rsid w:val="00A84E48"/>
    <w:rsid w:val="00A91337"/>
    <w:rsid w:val="00A953A7"/>
    <w:rsid w:val="00AD2B3D"/>
    <w:rsid w:val="00AE761B"/>
    <w:rsid w:val="00AF57C5"/>
    <w:rsid w:val="00B034CE"/>
    <w:rsid w:val="00B21558"/>
    <w:rsid w:val="00B34340"/>
    <w:rsid w:val="00B62F46"/>
    <w:rsid w:val="00B72293"/>
    <w:rsid w:val="00B92882"/>
    <w:rsid w:val="00BA2359"/>
    <w:rsid w:val="00BB33D5"/>
    <w:rsid w:val="00BC0799"/>
    <w:rsid w:val="00BC39BC"/>
    <w:rsid w:val="00BD44D5"/>
    <w:rsid w:val="00BD5862"/>
    <w:rsid w:val="00BF0C6B"/>
    <w:rsid w:val="00BF0EB9"/>
    <w:rsid w:val="00C0276D"/>
    <w:rsid w:val="00C13694"/>
    <w:rsid w:val="00C37D8B"/>
    <w:rsid w:val="00C42F39"/>
    <w:rsid w:val="00C73938"/>
    <w:rsid w:val="00C75BB9"/>
    <w:rsid w:val="00C80A36"/>
    <w:rsid w:val="00C9561F"/>
    <w:rsid w:val="00C96DF7"/>
    <w:rsid w:val="00CA09B5"/>
    <w:rsid w:val="00CA57DF"/>
    <w:rsid w:val="00CC057E"/>
    <w:rsid w:val="00CD062A"/>
    <w:rsid w:val="00D21727"/>
    <w:rsid w:val="00D41CEA"/>
    <w:rsid w:val="00D4208C"/>
    <w:rsid w:val="00D4596D"/>
    <w:rsid w:val="00D522EC"/>
    <w:rsid w:val="00D53118"/>
    <w:rsid w:val="00D60FDD"/>
    <w:rsid w:val="00D62142"/>
    <w:rsid w:val="00D63B70"/>
    <w:rsid w:val="00D93580"/>
    <w:rsid w:val="00D956F3"/>
    <w:rsid w:val="00DA781C"/>
    <w:rsid w:val="00DD7C08"/>
    <w:rsid w:val="00DE5993"/>
    <w:rsid w:val="00DF088B"/>
    <w:rsid w:val="00E07F74"/>
    <w:rsid w:val="00E36C17"/>
    <w:rsid w:val="00E5723A"/>
    <w:rsid w:val="00E612DD"/>
    <w:rsid w:val="00E62404"/>
    <w:rsid w:val="00E73FA7"/>
    <w:rsid w:val="00E83867"/>
    <w:rsid w:val="00E85E80"/>
    <w:rsid w:val="00EA4A7E"/>
    <w:rsid w:val="00EB6EA4"/>
    <w:rsid w:val="00EB79BF"/>
    <w:rsid w:val="00EC649A"/>
    <w:rsid w:val="00EC6B60"/>
    <w:rsid w:val="00EC6EC1"/>
    <w:rsid w:val="00EF5D6E"/>
    <w:rsid w:val="00F02A07"/>
    <w:rsid w:val="00F1247F"/>
    <w:rsid w:val="00F3076D"/>
    <w:rsid w:val="00F410A2"/>
    <w:rsid w:val="00F450D7"/>
    <w:rsid w:val="00F4755B"/>
    <w:rsid w:val="00F63BFF"/>
    <w:rsid w:val="00F664AB"/>
    <w:rsid w:val="00F72089"/>
    <w:rsid w:val="00F85F77"/>
    <w:rsid w:val="00FA1DC9"/>
    <w:rsid w:val="00FA25D5"/>
    <w:rsid w:val="00FA6436"/>
    <w:rsid w:val="00FB1D4F"/>
    <w:rsid w:val="00FC5350"/>
    <w:rsid w:val="00FD4783"/>
    <w:rsid w:val="00FE142C"/>
    <w:rsid w:val="00FE2C95"/>
    <w:rsid w:val="00FE38EC"/>
    <w:rsid w:val="00FF1180"/>
    <w:rsid w:val="00FF21D4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8C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