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128" w:rsidRPr="00DD3653" w:rsidP="004A412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D3653" w:rsidR="00D538F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D3653" w:rsidR="00BD0A9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4128" w:rsidRPr="00DD3653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30 августа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D3653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D3653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DD3653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DD3653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DD3653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D3653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A1617" w:rsidRPr="00DD3653" w:rsidP="004A41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DD3653">
        <w:rPr>
          <w:rFonts w:ascii="Times New Roman" w:hAnsi="Times New Roman" w:cs="Times New Roman"/>
          <w:sz w:val="18"/>
          <w:szCs w:val="18"/>
          <w:lang w:eastAsia="en-US"/>
        </w:rPr>
        <w:t>должностного лица – «данные изъяты»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 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>Грицышиной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И.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В.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D3653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DD3653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DD3653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Кодекса Российской </w:t>
      </w:r>
      <w:r w:rsidRPr="00DD3653">
        <w:rPr>
          <w:rFonts w:ascii="Times New Roman" w:eastAsia="Times New Roman" w:hAnsi="Times New Roman" w:cs="Times New Roman"/>
          <w:sz w:val="18"/>
          <w:szCs w:val="18"/>
          <w:lang w:eastAsia="en-US"/>
        </w:rPr>
        <w:t>Федерации об административных правонарушениях,</w:t>
      </w:r>
    </w:p>
    <w:p w:rsidR="004A4128" w:rsidRPr="00DD3653" w:rsidP="004A41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DD3653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DD3653">
        <w:rPr>
          <w:rFonts w:ascii="Times New Roman" w:hAnsi="Times New Roman" w:cs="Times New Roman"/>
          <w:sz w:val="18"/>
          <w:szCs w:val="18"/>
          <w:lang w:eastAsia="en-US"/>
        </w:rPr>
        <w:t>Грицышина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И.В., являясь «данные изъяты»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</w:t>
      </w:r>
      <w:r w:rsidRPr="00DD3653" w:rsidR="00523DF2">
        <w:rPr>
          <w:rFonts w:ascii="Times New Roman" w:hAnsi="Times New Roman" w:cs="Times New Roman"/>
          <w:sz w:val="18"/>
          <w:szCs w:val="18"/>
          <w:lang w:eastAsia="en-US"/>
        </w:rPr>
        <w:t>,</w:t>
      </w:r>
      <w:r w:rsidRPr="00DD3653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страхования за 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сентябрь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2613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3653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, о месте и времени рассмотрения дела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истративном правонарушении.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щему.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неисполнением либо ненадлежащим исполнением своих служебных обязанностей. </w:t>
      </w:r>
    </w:p>
    <w:p w:rsidR="004A4128" w:rsidRPr="00DD3653" w:rsidP="004A412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DD3653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</w:t>
        </w:r>
        <w:r w:rsidRPr="00DD3653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чете в системе обязательного пенсионного страхования»</w:t>
        </w:r>
      </w:hyperlink>
      <w:r w:rsidRPr="00DD3653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DD3653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</w:t>
      </w:r>
      <w:r w:rsidRPr="00DD3653">
        <w:rPr>
          <w:rFonts w:ascii="Times New Roman" w:hAnsi="Times New Roman" w:eastAsiaTheme="minorEastAsia" w:cs="Times New Roman"/>
          <w:color w:val="000000"/>
          <w:sz w:val="18"/>
          <w:szCs w:val="18"/>
        </w:rPr>
        <w:t>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D3653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</w:t>
      </w:r>
      <w:r w:rsidRPr="00DD3653">
        <w:rPr>
          <w:rFonts w:ascii="Times New Roman" w:hAnsi="Times New Roman" w:eastAsiaTheme="minorEastAsia" w:cs="Times New Roman"/>
          <w:color w:val="000000"/>
          <w:sz w:val="18"/>
          <w:szCs w:val="18"/>
        </w:rPr>
        <w:t>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</w:t>
      </w:r>
      <w:r w:rsidRPr="00DD3653">
        <w:rPr>
          <w:rFonts w:ascii="Times New Roman" w:hAnsi="Times New Roman" w:eastAsiaTheme="minorEastAsia" w:cs="Times New Roman"/>
          <w:color w:val="000000"/>
          <w:sz w:val="18"/>
          <w:szCs w:val="18"/>
        </w:rPr>
        <w:t>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DD3653" w:rsidR="00CA1617">
        <w:rPr>
          <w:rFonts w:ascii="Times New Roman" w:hAnsi="Times New Roman" w:eastAsiaTheme="minorEastAsia" w:cs="Times New Roman"/>
          <w:sz w:val="18"/>
          <w:szCs w:val="18"/>
        </w:rPr>
        <w:t xml:space="preserve">Грицышина И.В. </w:t>
      </w:r>
      <w:r w:rsidRPr="00DD3653">
        <w:rPr>
          <w:rFonts w:ascii="Times New Roman" w:hAnsi="Times New Roman" w:eastAsiaTheme="minorEastAsia" w:cs="Times New Roman"/>
          <w:sz w:val="18"/>
          <w:szCs w:val="18"/>
        </w:rPr>
        <w:t>допустил</w:t>
      </w:r>
      <w:r w:rsidRPr="00DD3653" w:rsidR="005D59F0">
        <w:rPr>
          <w:rFonts w:ascii="Times New Roman" w:hAnsi="Times New Roman" w:eastAsiaTheme="minorEastAsia" w:cs="Times New Roman"/>
          <w:sz w:val="18"/>
          <w:szCs w:val="18"/>
        </w:rPr>
        <w:t>а</w:t>
      </w:r>
      <w:r w:rsidRPr="00DD3653">
        <w:rPr>
          <w:rFonts w:ascii="Times New Roman" w:hAnsi="Times New Roman" w:eastAsiaTheme="minorEastAsia" w:cs="Times New Roman"/>
          <w:sz w:val="18"/>
          <w:szCs w:val="18"/>
        </w:rPr>
        <w:t xml:space="preserve"> административное правонарушение, выразившееся в непредставлении в установленный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я ведения индивидуального (персонифицированного) учета в системе обязательного пенсионного страхования за 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 xml:space="preserve">сентябрь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2020 года.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сентябрь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2613F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3653" w:rsidR="00BD0A9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.2020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отчетный период 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сентябр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DD3653" w:rsidR="00BD0A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Указанные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, как должностного лица, образуют объективную сторону состав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шения, предусмотренного ст. 15.33.2 Кодекса Российской Федерации об 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правонарушениях),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 органы Пенсионного фонда Российской Федерации оформленн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отношении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Грицышиной И.В.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, действия последнего квалифицированы по ч.1 ст. 15.33.2 Кодекса Российской Федерации об административных правонарушениях.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 силу положений ч.1 ст. 1.7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Федеральным законом от 01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.04.2020 № 90-ФЗ «О внесении изменений в Кодекс 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ный Федеральным законом от 1 апреля 1996 года № 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6 указ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анного Федерального закона.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Данный Федеральный закон с указанными изменениями вступил в законную силу с 01.01.2021.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DD3653" w:rsidR="006C41F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385D1E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3653" w:rsidR="00385D1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D3653" w:rsidR="00145C1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действия последн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подлежат юридической квалификации по ст. 15.33.2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Постановлением Конституционного Суда Российской Федерации от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а, действовавшего на момент совершения им противоправного общественно опасного деяния.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применении Кодекса Российской Федерации об административных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АП РФ или закона субъекта Российской Федерации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Если при р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ных лиц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Так, ст. 15.33.2 Кодекса Российской Федерации об административных правонарушениях (в редакции, действовавше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й на момент совершения правонарушения) установлена 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Аналогичная ответственность установлена за совершение правонарушения, п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редусмотренного ч.1 ст. 15.33.2 Кодекса Российской Федерации об административных правонарушениях (в редакции, вступившей в законную силу с 01.01.2021).   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ется производство по делу об административном правонарушении, мировой судья приходит к выводу о том, что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действия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.2 Кодекса Российской Федерации об административных правонарушениях (в редакции, действовавшей на момент совершения правонарушения). </w:t>
      </w:r>
    </w:p>
    <w:p w:rsidR="00CA1617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Грицышина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И.В. Пр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ого лица, считаются достоверными до внесения в них соответствующих изменений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 Для всех третьих лиц руководителем организации является лицо, указанное в реестре.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обстоятельства доказательств мировому судье не представлено.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 И.В. </w:t>
      </w:r>
      <w:r w:rsidRPr="00DD36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DD3653" w:rsidR="00385D1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DD3653" w:rsidR="00145C1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09</w:t>
      </w:r>
      <w:r w:rsidRPr="00DD36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D3653" w:rsidR="00CA161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DD36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DD3653" w:rsidR="00CA161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DD365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Грицышина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DD3653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 15.33.2 Кодекса Российской Федерации об административных правонарушениях, а именно: не представил</w:t>
      </w:r>
      <w:r w:rsidRPr="00DD3653" w:rsidR="0043220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ьного пенсионного страхования срок в органы Пенсионного фонда Российской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я.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щих или отягчающих административную ответственность.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правонарушении, по делу не установлено. </w:t>
      </w:r>
    </w:p>
    <w:p w:rsidR="003329A3" w:rsidRPr="00DD3653" w:rsidP="00332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екоммерческим организациям, а также являющимся субъектами малого и среднего предпринимательства лицам,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ипального контроля, в случаях, если назначение административного наказания в виде предупреждения не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В соответствии с ч. 1 с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В силу ч. 2 ст. 3.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при отсутс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твии имущественного ущерба.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на м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омент совершения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привлекал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допущенные </w:t>
      </w:r>
      <w:r w:rsidRPr="00DD3653" w:rsidR="003329A3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вью людей либо других негативных последствий, считаю возможным назначить </w:t>
      </w:r>
      <w:r w:rsidRPr="00DD3653" w:rsidR="00CA1617">
        <w:rPr>
          <w:rFonts w:ascii="Times New Roman" w:eastAsia="Times New Roman" w:hAnsi="Times New Roman" w:cs="Times New Roman"/>
          <w:sz w:val="18"/>
          <w:szCs w:val="18"/>
        </w:rPr>
        <w:t xml:space="preserve">Грицышиной И.В.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наказание в пределах санкции ст. 15.33.2 Кодекса Российской Федерации об административных правонарушениях, с применением ч. 1 ст. 4.1.1 Кодекса Российской Федерации об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административных правонарушениях. 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Грицышин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В.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DD3653" w:rsidR="005D59F0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(трехсот) рублей.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В соответс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твии со ст.4.1.1 Кодекса Российской Федерации об административных правонарушениях назначенное наказание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>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4128" w:rsidRPr="00DD3653" w:rsidP="004A41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2C5A43" w:rsidRPr="00DD3653" w:rsidP="00746BBB">
      <w:pPr>
        <w:spacing w:after="0" w:line="240" w:lineRule="auto"/>
        <w:ind w:firstLine="851"/>
        <w:jc w:val="both"/>
        <w:rPr>
          <w:sz w:val="18"/>
          <w:szCs w:val="18"/>
        </w:rPr>
      </w:pP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DD3653" w:rsidR="001B58FC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DD36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D365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28"/>
    <w:rsid w:val="00145C11"/>
    <w:rsid w:val="001B58FC"/>
    <w:rsid w:val="002613F2"/>
    <w:rsid w:val="002C5A43"/>
    <w:rsid w:val="00326552"/>
    <w:rsid w:val="003329A3"/>
    <w:rsid w:val="00385D1E"/>
    <w:rsid w:val="00432200"/>
    <w:rsid w:val="004A4128"/>
    <w:rsid w:val="00523DF2"/>
    <w:rsid w:val="005D59F0"/>
    <w:rsid w:val="006C41FD"/>
    <w:rsid w:val="00746BBB"/>
    <w:rsid w:val="009A20A0"/>
    <w:rsid w:val="009D0071"/>
    <w:rsid w:val="00A0479A"/>
    <w:rsid w:val="00A058DF"/>
    <w:rsid w:val="00BD0A90"/>
    <w:rsid w:val="00BD2865"/>
    <w:rsid w:val="00C545F8"/>
    <w:rsid w:val="00C9516B"/>
    <w:rsid w:val="00CA1617"/>
    <w:rsid w:val="00D530EA"/>
    <w:rsid w:val="00D538F4"/>
    <w:rsid w:val="00DD365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8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4128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A41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