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44</w:t>
      </w:r>
      <w:r w:rsidR="000C0F5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 августа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CF7E95" w:rsidR="005B00A9">
        <w:rPr>
          <w:rFonts w:ascii="Times New Roman" w:hAnsi="Times New Roman"/>
        </w:rPr>
        <w:t xml:space="preserve"> </w:t>
      </w:r>
      <w:r w:rsidR="005B00A9">
        <w:rPr>
          <w:rFonts w:ascii="Times New Roman" w:hAnsi="Times New Roman"/>
        </w:rPr>
        <w:t>Асанов Эльдар Рустемович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0C0F50">
        <w:rPr>
          <w:rStyle w:val="32"/>
          <w:sz w:val="24"/>
          <w:szCs w:val="24"/>
          <w:u w:val="none"/>
        </w:rPr>
        <w:t>декабрь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0C0F50"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01.03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="000C0F5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0C0F5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="000C0F50">
        <w:rPr>
          <w:rFonts w:ascii="Times New Roman" w:hAnsi="Times New Roman"/>
        </w:rPr>
        <w:t>0</w:t>
      </w:r>
      <w:r w:rsidRPr="007A6D8E" w:rsidR="00576AC3">
        <w:rPr>
          <w:rFonts w:ascii="Times New Roman" w:hAnsi="Times New Roman"/>
        </w:rPr>
        <w:t>1</w:t>
      </w:r>
      <w:r w:rsidRPr="007A6D8E">
        <w:rPr>
          <w:rFonts w:ascii="Times New Roman" w:hAnsi="Times New Roman"/>
        </w:rPr>
        <w:t>.201</w:t>
      </w:r>
      <w:r w:rsidR="000C0F50">
        <w:rPr>
          <w:rFonts w:ascii="Times New Roman" w:hAnsi="Times New Roman"/>
        </w:rPr>
        <w:t>9</w:t>
      </w:r>
      <w:r w:rsidRPr="007A6D8E">
        <w:rPr>
          <w:rFonts w:ascii="Times New Roman" w:hAnsi="Times New Roman"/>
        </w:rPr>
        <w:t xml:space="preserve">г. Местом совершения правонарушения является: </w:t>
      </w:r>
      <w:r w:rsidR="004B5556">
        <w:t>&lt;данные изъяты&gt;</w:t>
      </w:r>
      <w:r w:rsidRPr="007A6D8E">
        <w:rPr>
          <w:rFonts w:ascii="Times New Roman" w:hAnsi="Times New Roman"/>
        </w:rPr>
        <w:t>.</w:t>
      </w:r>
      <w:r w:rsidR="004B5556">
        <w:rPr>
          <w:rFonts w:ascii="Times New Roman" w:hAnsi="Times New Roman"/>
        </w:rPr>
        <w:t xml:space="preserve"> 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Асанова Э.Р.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4B5556">
        <w:t>&lt;</w:t>
      </w:r>
      <w:r w:rsidR="004B5556">
        <w:t>данные</w:t>
      </w:r>
      <w:r w:rsidR="004B5556">
        <w:t xml:space="preserve"> </w:t>
      </w:r>
      <w:r w:rsidR="004B5556">
        <w:t>изъяты</w:t>
      </w:r>
      <w:r w:rsidR="004B5556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173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1734B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1734B">
        <w:rPr>
          <w:rFonts w:ascii="Times New Roman" w:hAnsi="Times New Roman" w:cs="Times New Roman"/>
          <w:sz w:val="24"/>
          <w:szCs w:val="24"/>
          <w:lang w:val="ru-RU"/>
        </w:rPr>
        <w:t>000000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0F50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B5556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C1F9DBE-376C-4554-A5A2-7F063B2D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