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468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ноября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F3D58" w:rsidRPr="004B1261" w:rsidP="001C16B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«Аквапрув» </w:t>
      </w:r>
      <w:r w:rsidRPr="001F7414">
        <w:rPr>
          <w:rFonts w:ascii="Times New Roman" w:hAnsi="Times New Roman" w:cs="Times New Roman"/>
          <w:sz w:val="28"/>
          <w:szCs w:val="28"/>
        </w:rPr>
        <w:t>Аджиева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Pr="001F7414">
        <w:rPr>
          <w:rFonts w:ascii="Times New Roman" w:hAnsi="Times New Roman" w:cs="Times New Roman"/>
          <w:sz w:val="28"/>
          <w:szCs w:val="28"/>
        </w:rPr>
        <w:t>Заировича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1C16BC" w:rsidR="001C16BC">
        <w:rPr>
          <w:rFonts w:ascii="Times New Roman" w:hAnsi="Times New Roman" w:cs="Times New Roman"/>
          <w:sz w:val="28"/>
          <w:szCs w:val="28"/>
        </w:rPr>
        <w:t>«данные изъяты»</w:t>
      </w:r>
      <w:r w:rsidR="001C16B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1C16BC" w:rsidR="001C16B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18.04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не явился, о дате и времени судебного разбирательства уведомлен надлежащим обра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в суд не направ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ст. 25.1 Кодекса Российской Федерации об административных правонарушениях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49C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 000,00 рублей.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тствии признаков нарушения законодательства о налогах и сборах, предусмотренных статьей 126 настоящего Кодекса, влечет взыскание штрафа с организации в размере 5 000,00 рублей. 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2713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31.03.2023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квапрув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31.03.2023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10.04.2023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18.04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17894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14.08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го ч. 1 ст. 15.6 Кодекса Российской Федерации об административных правонарушениях, является именно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F7414" w:rsidR="001F7414">
        <w:rPr>
          <w:rFonts w:ascii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hAnsi="Times New Roman" w:cs="Times New Roman"/>
          <w:sz w:val="28"/>
          <w:szCs w:val="28"/>
        </w:rPr>
        <w:t xml:space="preserve"> Р.З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91022322900039600002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17.10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17894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14.08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2713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31.03.2023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ановлено.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14.02.2023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040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26.03.2023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ем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у назначено административное наказание в виде предупреждения. Принимая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инистративному наказанию за однородные правонарушения. </w:t>
      </w:r>
    </w:p>
    <w:p w:rsid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о, отсутствие смягчающих и наличие отягчающих ответственность обстоятельств, мировой судья считает необходимым подвергнуть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ч. 1 ст. 15.6 Кодекса Российской Федерации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 </w:t>
      </w:r>
    </w:p>
    <w:p w:rsidR="006F3D58" w:rsidRPr="004B1261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Аджиева Руслана Заировича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Крым Банка России//УФК по Республике Крым г. Симферополь, БИК: 013510002, Единый казначейский счет: 40102810645370000035, Казначейский счет: 03100643350000017500, УИН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0410760300195004682315147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, ОКТМО 35701000, КБК 828 1 16 01153 01 0006 140, постановление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по делу №05-04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14.11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Аджиева Руслана Заировича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правонарушениях, влечёт наложение административного штрафа в двукратном размере суммы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ок до пятидесяти часов (ч.1 ст.20.25 КоАП РФ).</w:t>
      </w:r>
    </w:p>
    <w:p w:rsid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имферополя) Республики Крым (г. Симферополь, ул. Крымских Партизан, 3а).</w:t>
      </w:r>
    </w:p>
    <w:p w:rsidR="006F3D58" w:rsidRPr="00491181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B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1C16BC"/>
    <w:rsid w:val="001F7414"/>
    <w:rsid w:val="00200527"/>
    <w:rsid w:val="00256DDF"/>
    <w:rsid w:val="00263EC4"/>
    <w:rsid w:val="00286140"/>
    <w:rsid w:val="002C5A43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4B1261"/>
    <w:rsid w:val="00562514"/>
    <w:rsid w:val="00581AC0"/>
    <w:rsid w:val="005B5848"/>
    <w:rsid w:val="006E4120"/>
    <w:rsid w:val="006F0AFE"/>
    <w:rsid w:val="006F3D58"/>
    <w:rsid w:val="00786758"/>
    <w:rsid w:val="007A176A"/>
    <w:rsid w:val="007F1DEA"/>
    <w:rsid w:val="00863C5B"/>
    <w:rsid w:val="008826CA"/>
    <w:rsid w:val="00882DA7"/>
    <w:rsid w:val="008C04FB"/>
    <w:rsid w:val="008D2EA4"/>
    <w:rsid w:val="009130A0"/>
    <w:rsid w:val="00915D0F"/>
    <w:rsid w:val="009F0F1D"/>
    <w:rsid w:val="00A039C2"/>
    <w:rsid w:val="00AB0BFE"/>
    <w:rsid w:val="00AD41BF"/>
    <w:rsid w:val="00B5441C"/>
    <w:rsid w:val="00B72C26"/>
    <w:rsid w:val="00BE6471"/>
    <w:rsid w:val="00C02750"/>
    <w:rsid w:val="00C10F9B"/>
    <w:rsid w:val="00C1349C"/>
    <w:rsid w:val="00C545F8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