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CF3" w:rsidRPr="00516D26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046C8">
        <w:rPr>
          <w:rFonts w:ascii="Times New Roman" w:hAnsi="Times New Roman" w:cs="Times New Roman"/>
          <w:sz w:val="28"/>
          <w:szCs w:val="28"/>
          <w:lang w:val="ru-RU" w:eastAsia="ru-RU"/>
        </w:rPr>
        <w:t>005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D046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24CF3" w:rsidRPr="00516D26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516D26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516D26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 января</w:t>
            </w:r>
            <w:r w:rsidRPr="00516D26" w:rsidR="001F3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516D26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516D26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516D26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516D26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516D26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</w:p>
    <w:p w:rsidR="00C24CF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</w:t>
      </w:r>
      <w:r w:rsidRPr="00516D26" w:rsidR="007C323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 w:rsidR="007C3237">
        <w:rPr>
          <w:rFonts w:ascii="Times New Roman" w:hAnsi="Times New Roman" w:cs="Times New Roman"/>
          <w:sz w:val="28"/>
          <w:szCs w:val="28"/>
          <w:lang w:val="ru-RU" w:eastAsia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D046C8" w:rsidRPr="00516D26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 участием – прокурора Сердюка А.А.,</w:t>
      </w:r>
    </w:p>
    <w:p w:rsidR="00C24CF3" w:rsidRPr="00516D26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2C01F2">
        <w:t>&lt;данные изъяты&gt;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Решитова Энвера Муслимовича, </w:t>
      </w:r>
      <w:r w:rsidR="002C01F2">
        <w:t>&lt;данные изъяты&gt;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C01F2">
        <w:t>&lt;данные изъяты&gt;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2C01F2">
        <w:t>&lt;данные изъяты&gt;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C01F2">
        <w:t>&lt;данные изъяты&gt;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516D26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24CF3" w:rsidRPr="00516D26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424AA" w:rsidRPr="00516D26" w:rsidP="00B10EFA">
      <w:pPr>
        <w:pStyle w:val="BodyText"/>
        <w:spacing w:line="240" w:lineRule="auto"/>
        <w:ind w:left="20" w:right="40" w:firstLine="720"/>
        <w:rPr>
          <w:sz w:val="28"/>
          <w:szCs w:val="28"/>
        </w:rPr>
      </w:pPr>
      <w:r w:rsidRPr="00516D26">
        <w:rPr>
          <w:sz w:val="28"/>
          <w:szCs w:val="28"/>
        </w:rPr>
        <w:t xml:space="preserve">Прокуратурой Центрального района города Симферополя </w:t>
      </w:r>
      <w:r w:rsidRPr="00516D26">
        <w:rPr>
          <w:sz w:val="28"/>
          <w:szCs w:val="28"/>
        </w:rPr>
        <w:t xml:space="preserve">в ходе проведения проверки соблюдения должностными лицами </w:t>
      </w:r>
      <w:r w:rsidR="002C01F2">
        <w:t>&lt;данные изъяты&gt;</w:t>
      </w:r>
      <w:r w:rsidRPr="00516D26">
        <w:rPr>
          <w:sz w:val="28"/>
          <w:szCs w:val="28"/>
        </w:rPr>
        <w:t xml:space="preserve"> (далее - </w:t>
      </w:r>
      <w:r w:rsidR="002C01F2">
        <w:t>&lt;данные изъяты&gt;</w:t>
      </w:r>
      <w:r w:rsidRPr="00516D26">
        <w:rPr>
          <w:sz w:val="28"/>
          <w:szCs w:val="28"/>
        </w:rPr>
        <w:t>) требований законодательства о безопасности дорожного движения, о лицензировании установлены нарушения.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В соответствии со ст. 3 Федерального закона № 196-ФЗ от 10.12.1995</w:t>
      </w:r>
      <w:r w:rsidRPr="00516D26" w:rsidR="00AC22B1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«О безопасности дорожного движения» (далее - Закон № 196-ФЗ) установлено, что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деятельности, а также соблюдение интересов граждан, общества и государства при обеспечении безопасности дорожного движения.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Согласно ст. 24 Закона № 196-ФЗ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 xml:space="preserve">Статьей 20 Закона № 196-ФЗ установлено, что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организовывать работу водителей в соответствии с требованиями, обеспечивающими безопасность дорожного движения, соблюдать установленный законодательством Российской Федерации режим труда и отдыха водителей, создавать условия для повышения квалификации водителей и других работников автомобильного и наземного городского электрического </w:t>
      </w:r>
      <w:r w:rsidRPr="00516D26">
        <w:rPr>
          <w:sz w:val="28"/>
          <w:szCs w:val="28"/>
        </w:rPr>
        <w:t>транспорта, обеспечивающих безопасность дорожного движения,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средств, организовывать в соответствии с требованиями настоящего Федерального закона, Федерального закона от 21.11.2011</w:t>
      </w:r>
      <w:r w:rsidRPr="00516D26" w:rsidR="005B5514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№ 323-Ф</w:t>
      </w:r>
      <w:r w:rsidRPr="00516D26" w:rsidR="005B5514">
        <w:rPr>
          <w:sz w:val="28"/>
          <w:szCs w:val="28"/>
        </w:rPr>
        <w:t>З</w:t>
      </w:r>
      <w:r w:rsidRPr="00516D26">
        <w:rPr>
          <w:sz w:val="28"/>
          <w:szCs w:val="28"/>
        </w:rPr>
        <w:t xml:space="preserve"> «Об основах охраны здоровья граждан в Российской Федерации»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обеспечивать исполнение установленной федеральным законом обязанности по страхованию гражданской ответственности владельцев транспортных средств, 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средств.</w:t>
      </w:r>
    </w:p>
    <w:p w:rsidR="009424AA" w:rsidRPr="00516D26" w:rsidP="009424AA">
      <w:pPr>
        <w:pStyle w:val="20"/>
        <w:spacing w:before="0" w:after="0" w:line="240" w:lineRule="auto"/>
        <w:ind w:left="20" w:right="20" w:firstLine="700"/>
        <w:rPr>
          <w:sz w:val="28"/>
          <w:szCs w:val="28"/>
        </w:rPr>
      </w:pPr>
      <w:r w:rsidRPr="00516D26">
        <w:rPr>
          <w:sz w:val="28"/>
          <w:szCs w:val="28"/>
        </w:rPr>
        <w:t>В соответствии с Перечнем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утвержденным приказом Минтранса России от 15.01.2014</w:t>
      </w:r>
      <w:r w:rsidRPr="00516D26" w:rsidR="005B5514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№7 (далее - Перечень), одним из мероприятий по подготовке транспортных средств к безопасной эксплуатации является обеспечение безопасных условий перевозок пассажиров.</w:t>
      </w:r>
    </w:p>
    <w:p w:rsidR="009424AA" w:rsidRPr="00516D26" w:rsidP="009424AA">
      <w:pPr>
        <w:pStyle w:val="20"/>
        <w:spacing w:before="0" w:after="0" w:line="240" w:lineRule="auto"/>
        <w:ind w:left="20" w:right="20" w:firstLine="700"/>
        <w:rPr>
          <w:sz w:val="28"/>
          <w:szCs w:val="28"/>
        </w:rPr>
      </w:pPr>
      <w:r w:rsidRPr="00516D26">
        <w:rPr>
          <w:sz w:val="28"/>
          <w:szCs w:val="28"/>
        </w:rPr>
        <w:t>При этом</w:t>
      </w:r>
      <w:r w:rsidRPr="00516D26" w:rsidR="005B5514">
        <w:rPr>
          <w:sz w:val="28"/>
          <w:szCs w:val="28"/>
        </w:rPr>
        <w:t>,</w:t>
      </w:r>
      <w:r w:rsidRPr="00516D26">
        <w:rPr>
          <w:sz w:val="28"/>
          <w:szCs w:val="28"/>
        </w:rPr>
        <w:t xml:space="preserve"> в нарушение вышеуказанных требований законодательства, перевозчиком не принимаются надлежащие меры по обеспечению безопасных условий перевозок пассажиров.</w:t>
      </w:r>
    </w:p>
    <w:p w:rsidR="009424AA" w:rsidRPr="00516D26" w:rsidP="009424AA">
      <w:pPr>
        <w:pStyle w:val="20"/>
        <w:spacing w:before="0" w:after="0" w:line="240" w:lineRule="auto"/>
        <w:ind w:left="20" w:right="20" w:firstLine="700"/>
        <w:rPr>
          <w:sz w:val="28"/>
          <w:szCs w:val="28"/>
        </w:rPr>
      </w:pPr>
      <w:r w:rsidRPr="00516D26">
        <w:rPr>
          <w:sz w:val="28"/>
          <w:szCs w:val="28"/>
        </w:rPr>
        <w:t>Так, в ходе проведения проверки установлено, что 14.11.2019</w:t>
      </w:r>
      <w:r w:rsidRPr="00516D26" w:rsidR="005B5514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</w:t>
      </w:r>
      <w:r w:rsidR="002C01F2">
        <w:t>&lt;данные изъяты&gt;</w:t>
      </w:r>
      <w:r w:rsidRPr="00516D26">
        <w:rPr>
          <w:sz w:val="28"/>
          <w:szCs w:val="28"/>
        </w:rPr>
        <w:t xml:space="preserve"> осуществляя внутригородские перевозки пассажиров и багажа автомобильным транспортом марки </w:t>
      </w:r>
      <w:r w:rsidR="002C01F2">
        <w:t>&lt;данные изъяты&gt;</w:t>
      </w:r>
      <w:r w:rsidRPr="00516D26">
        <w:rPr>
          <w:sz w:val="28"/>
          <w:szCs w:val="28"/>
        </w:rPr>
        <w:t xml:space="preserve"> г.р.з. </w:t>
      </w:r>
      <w:r w:rsidR="002C01F2">
        <w:t>&lt;данные изъяты&gt;</w:t>
      </w:r>
      <w:r w:rsidRPr="00516D26">
        <w:rPr>
          <w:sz w:val="28"/>
          <w:szCs w:val="28"/>
        </w:rPr>
        <w:t xml:space="preserve"> в отсутствии двух противооткатных упора, огнетушителя, чем нарушили требования, предусмотренные п. 7.7. Перечня неисправностей и условий, при которых запрещается эксплуатация транспортных средств утвержденных Постановлением Совета Министров - Правительства Российской Федерации от 23.10.1993</w:t>
      </w:r>
      <w:r w:rsidRPr="00516D26" w:rsidR="005B5514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№1090 «О Правилах дорожного движения».</w:t>
      </w:r>
    </w:p>
    <w:p w:rsidR="009424AA" w:rsidRPr="00516D26" w:rsidP="009424AA">
      <w:pPr>
        <w:pStyle w:val="20"/>
        <w:spacing w:before="0" w:after="0" w:line="240" w:lineRule="auto"/>
        <w:ind w:left="20" w:right="20" w:firstLine="700"/>
        <w:rPr>
          <w:sz w:val="28"/>
          <w:szCs w:val="28"/>
        </w:rPr>
      </w:pPr>
      <w:r w:rsidRPr="00516D26">
        <w:rPr>
          <w:sz w:val="28"/>
          <w:szCs w:val="28"/>
        </w:rPr>
        <w:t>Кроме того, в журнале послерейсового медицинского осмотра за 14.11.2019</w:t>
      </w:r>
      <w:r w:rsidRPr="00516D26" w:rsidR="000D02CA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штамп о прохождении медицинского осмотра проставлен медицинским работником, без прохождения водителями осмотра, что является нарушением п. 14 Приказа Министерства здравоохранения Российской Федерации от 15.12.2014</w:t>
      </w:r>
      <w:r w:rsidRPr="00516D26" w:rsidR="000D02CA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№ 835н «Об утверждении Порядка проведения предсменных, предрейсовых и послесменных, послерейсовых медицинских осмотров».</w:t>
      </w:r>
    </w:p>
    <w:p w:rsidR="009424AA" w:rsidRPr="00516D26" w:rsidP="009424AA">
      <w:pPr>
        <w:pStyle w:val="20"/>
        <w:spacing w:before="0" w:after="0" w:line="240" w:lineRule="auto"/>
        <w:ind w:left="20" w:right="20" w:firstLine="700"/>
        <w:rPr>
          <w:sz w:val="28"/>
          <w:szCs w:val="28"/>
        </w:rPr>
      </w:pPr>
      <w:r w:rsidRPr="00516D26">
        <w:rPr>
          <w:sz w:val="28"/>
          <w:szCs w:val="28"/>
        </w:rPr>
        <w:t>Более того, транспортная безопасность (согласно ст. 1 Федерального закона от 09.02.2007</w:t>
      </w:r>
      <w:r w:rsidRPr="00516D26" w:rsidR="00FA00FA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№16-ФЗ «О транспортной безопасности» (далее -</w:t>
      </w:r>
      <w:r w:rsidRPr="00516D26" w:rsidR="00FA00FA">
        <w:rPr>
          <w:sz w:val="28"/>
          <w:szCs w:val="28"/>
        </w:rPr>
        <w:t xml:space="preserve"> </w:t>
      </w:r>
      <w:r w:rsidRPr="00516D26">
        <w:rPr>
          <w:sz w:val="28"/>
          <w:szCs w:val="28"/>
        </w:rPr>
        <w:t xml:space="preserve">Закон № 16-ФЗ) - это состояние защищенности объектов транспортной </w:t>
      </w:r>
      <w:r w:rsidRPr="00516D26">
        <w:rPr>
          <w:sz w:val="28"/>
          <w:szCs w:val="28"/>
        </w:rPr>
        <w:t>инфраструктуры и транспортных средств от актов незаконного вмешательства. В свою очередь акт незаконного вмешательства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При этом в соответствии с п.10 Концепции противодействия терроризму в Российской Федерации, утвержденной Президентом Российской Федерации 05.10.2009</w:t>
      </w:r>
      <w:r w:rsidRPr="00516D26" w:rsidR="00FA00FA">
        <w:rPr>
          <w:sz w:val="28"/>
          <w:szCs w:val="28"/>
        </w:rPr>
        <w:t>г.</w:t>
      </w:r>
      <w:r w:rsidRPr="00516D26">
        <w:rPr>
          <w:sz w:val="28"/>
          <w:szCs w:val="28"/>
        </w:rPr>
        <w:t>,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Согласно ч. 1 ст. 2 Закона № 16-ФЗ, 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 При этом к основным задачам обеспечения транспортной безопасности законодатель относит оценку уязвимости объектов транспортной инфраструктуры и транспортных средств, категорирование объектов транспортной инфраструктуры и транспортных средств, реализацию требований по обеспечению транспортной безопасности.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Согласно части 1 статьи 3 Закона № 16-ФЗ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и в соответствии с пунктом 4 статьи 1 ФЗ № 16 заключается в реализации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В соответствии с пунктом 9 статьи 1 Закона № 16-ФЗ субъекты транспортной инфраструктуры -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Вопрос категорирования объектов транспортной инфраструктуры и транспортных средств регламентирован статьёй 6 Закона № 16-ФЗ.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 xml:space="preserve">Статья 8 Закона № 16-ФЗ предусматривает, что требования по обеспечению транспортной безопасности, учитывающие уровни безопасности, предусмотренные статьей 7 Закона № 16-ФЗ, для различных категорий объектов транспортной инфраструктуры и транспортных средств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 Указанные требования являются </w:t>
      </w:r>
      <w:r w:rsidRPr="00516D26">
        <w:rPr>
          <w:sz w:val="28"/>
          <w:szCs w:val="28"/>
        </w:rPr>
        <w:t>обязательными для исполнения всеми субъектами транспортной инфраструктуры.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Требования по обеспечению транспортной безопасности, учитывающие</w:t>
      </w:r>
      <w:r w:rsidRPr="00516D26" w:rsidR="00740196">
        <w:rPr>
          <w:sz w:val="28"/>
          <w:szCs w:val="28"/>
        </w:rPr>
        <w:t xml:space="preserve"> у</w:t>
      </w:r>
      <w:r w:rsidRPr="00516D26">
        <w:rPr>
          <w:sz w:val="28"/>
          <w:szCs w:val="28"/>
        </w:rPr>
        <w:t>ровни безопасности для различных категорий объектов транспортной инфраструктуры и транспортных средств автомобильного транспорта, утвержденные Приказом Минтранса Российской Федерации от 08.02.2011</w:t>
      </w:r>
      <w:r w:rsidRPr="00516D26" w:rsidR="00740196">
        <w:rPr>
          <w:sz w:val="28"/>
          <w:szCs w:val="28"/>
        </w:rPr>
        <w:t xml:space="preserve">г. № </w:t>
      </w:r>
      <w:r w:rsidRPr="00516D26">
        <w:rPr>
          <w:sz w:val="28"/>
          <w:szCs w:val="28"/>
        </w:rPr>
        <w:t xml:space="preserve">42, разработаны в соответствии со статьей 8 Закона № 16-ФЗ, применяются в отношении транспортных средств, эксплуатируемых субъектами транспортной инфраструктуры на территории Российской Федерации, являются обязательными </w:t>
      </w:r>
      <w:r w:rsidRPr="00516D26" w:rsidR="00740196">
        <w:rPr>
          <w:sz w:val="28"/>
          <w:szCs w:val="28"/>
        </w:rPr>
        <w:t>д</w:t>
      </w:r>
      <w:r w:rsidRPr="00516D26">
        <w:rPr>
          <w:sz w:val="28"/>
          <w:szCs w:val="28"/>
        </w:rPr>
        <w:t>ля исполнения всеми субъектами транспортной инфраструктуры и распространяются на всех юридических и/или физических лиц.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Обязанности для субъекта транспортной инфраструктуры устанавливаются единые, вне зависимости от прохождения субъектом транспортной инфраструктуры оценки уязвимости с присвоением категории объекту транспортной инфраструктуры и/или транспортным средствам.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Указанные требования применяются на всей территории Российской Федерации и обязательны для исполнения всеми субъектами транспортной инфраструктуры.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Также одним из основных принципов противодействия терроризму в соответствии с ч. 1 ст. 2 Федерального закона № 35 от 06.03.2006</w:t>
      </w:r>
      <w:r w:rsidRPr="00516D26" w:rsidR="00740196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«О противодействии терроризму» является обеспечение и защита основных прав и свобод человека и гражданина.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 является одной из основных задач противодействия терроризму.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 xml:space="preserve">Однако, в нарушение вышеуказанных требований законодательства, должностными лицами </w:t>
      </w:r>
      <w:r w:rsidR="002C01F2">
        <w:t>&lt;данные изъяты&gt;</w:t>
      </w:r>
      <w:r w:rsidRPr="00516D26">
        <w:rPr>
          <w:sz w:val="28"/>
          <w:szCs w:val="28"/>
        </w:rPr>
        <w:t xml:space="preserve"> не приняты соответствующие меры, направленные на обеспечение антитеррористической защищенности потенциальных объектов террористических посягательств, в частности из 25 единиц автотранспортных средств используемых для осуществления внутригородских пассажирских перевозок, 2 автотранспортному средству не присвоена категория, а также на 14 автотранспортных средствах не пройдена оценка уязвимости.</w:t>
      </w:r>
    </w:p>
    <w:p w:rsidR="009424AA" w:rsidRPr="00516D26" w:rsidP="009424AA">
      <w:pPr>
        <w:pStyle w:val="20"/>
        <w:spacing w:before="0" w:after="0" w:line="240" w:lineRule="auto"/>
        <w:ind w:left="20" w:right="20"/>
        <w:rPr>
          <w:sz w:val="28"/>
          <w:szCs w:val="28"/>
        </w:rPr>
      </w:pPr>
      <w:r w:rsidRPr="00516D26">
        <w:rPr>
          <w:sz w:val="28"/>
          <w:szCs w:val="28"/>
        </w:rPr>
        <w:t xml:space="preserve">При этом данные противоправные действия, в том числе в виде ненадлежащего обеспечения технического состояния транспортных средств требованиям безопасности дорожного движения, а также ненадлежащей организации проведения осмотров технического состояния транспортных средств и медицинского осмотра водителей свидетельствуют о нарушении лицензионных требований в деятельности </w:t>
      </w:r>
      <w:r w:rsidR="002C01F2">
        <w:t>&lt;данные изъяты&gt;</w:t>
      </w:r>
      <w:r w:rsidRPr="00516D26">
        <w:rPr>
          <w:sz w:val="28"/>
          <w:szCs w:val="28"/>
        </w:rPr>
        <w:t>, предусмотренных подп. «з», «к» п. 4 Положения о лицензировании перевозок пассажиров автомобильным транспортом, оборудованным для перевозок более 8 человек, утвержденного постановлением правительства Российской Федерации от 02.04.2012</w:t>
      </w:r>
      <w:r w:rsidRPr="00516D26" w:rsidR="006F3E6E">
        <w:rPr>
          <w:sz w:val="28"/>
          <w:szCs w:val="28"/>
        </w:rPr>
        <w:t>г.</w:t>
      </w:r>
      <w:r w:rsidRPr="00516D26">
        <w:rPr>
          <w:sz w:val="28"/>
          <w:szCs w:val="28"/>
        </w:rPr>
        <w:t xml:space="preserve"> №280.</w:t>
      </w:r>
    </w:p>
    <w:p w:rsidR="00284D33" w:rsidRPr="00516D26" w:rsidP="009424AA">
      <w:pPr>
        <w:pStyle w:val="BodyText"/>
        <w:spacing w:line="240" w:lineRule="auto"/>
        <w:ind w:left="40" w:right="40" w:firstLine="680"/>
        <w:rPr>
          <w:sz w:val="28"/>
          <w:szCs w:val="28"/>
        </w:rPr>
      </w:pPr>
      <w:r w:rsidRPr="00516D26">
        <w:rPr>
          <w:sz w:val="28"/>
          <w:szCs w:val="28"/>
        </w:rPr>
        <w:t xml:space="preserve">Согласно должностной инструкции </w:t>
      </w:r>
      <w:r w:rsidR="002C01F2">
        <w:t>&lt;данные изъяты&gt;</w:t>
      </w:r>
      <w:r w:rsidRPr="00516D26">
        <w:rPr>
          <w:sz w:val="28"/>
          <w:szCs w:val="28"/>
        </w:rPr>
        <w:t xml:space="preserve"> за допущенные нарушения ответственность несет Решито</w:t>
      </w:r>
      <w:r w:rsidRPr="00516D26" w:rsidR="006F3E6E">
        <w:rPr>
          <w:sz w:val="28"/>
          <w:szCs w:val="28"/>
        </w:rPr>
        <w:t xml:space="preserve">в </w:t>
      </w:r>
      <w:r w:rsidRPr="00516D26">
        <w:rPr>
          <w:sz w:val="28"/>
          <w:szCs w:val="28"/>
        </w:rPr>
        <w:t>Энвер Муслимович.</w:t>
      </w:r>
    </w:p>
    <w:p w:rsidR="00C24CF3" w:rsidRPr="00516D26" w:rsidP="0068052E">
      <w:pPr>
        <w:pStyle w:val="21"/>
        <w:spacing w:line="240" w:lineRule="auto"/>
        <w:ind w:firstLine="700"/>
        <w:rPr>
          <w:sz w:val="28"/>
          <w:szCs w:val="28"/>
        </w:rPr>
      </w:pPr>
      <w:r w:rsidRPr="00516D26">
        <w:rPr>
          <w:sz w:val="28"/>
          <w:szCs w:val="28"/>
        </w:rPr>
        <w:t xml:space="preserve">Время выявления административного правонарушения: </w:t>
      </w:r>
      <w:r w:rsidRPr="00516D26" w:rsidR="009424AA">
        <w:rPr>
          <w:sz w:val="28"/>
          <w:szCs w:val="28"/>
        </w:rPr>
        <w:t>29.11</w:t>
      </w:r>
      <w:r w:rsidRPr="00516D26" w:rsidR="00E16425">
        <w:rPr>
          <w:sz w:val="28"/>
          <w:szCs w:val="28"/>
        </w:rPr>
        <w:t>.2019</w:t>
      </w:r>
      <w:r w:rsidRPr="00516D26">
        <w:rPr>
          <w:sz w:val="28"/>
          <w:szCs w:val="28"/>
        </w:rPr>
        <w:t xml:space="preserve">г. Место совершения административного правонарушения: </w:t>
      </w:r>
      <w:r w:rsidR="002C01F2">
        <w:t>&lt;данные изъяты&gt;</w:t>
      </w:r>
      <w:r w:rsidRPr="00516D26">
        <w:rPr>
          <w:sz w:val="28"/>
          <w:szCs w:val="28"/>
        </w:rPr>
        <w:t>.</w:t>
      </w:r>
    </w:p>
    <w:p w:rsidR="00B53B93" w:rsidRPr="00516D26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&lt;данные изъяты&gt;</w:t>
      </w:r>
      <w:r w:rsidRPr="00516D26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Решитов </w:t>
      </w:r>
      <w:r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C24CF3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A45DD" w:rsidRPr="008B471F" w:rsidP="005A45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B471F">
        <w:rPr>
          <w:rFonts w:ascii="Times New Roman" w:hAnsi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>
        <w:rPr>
          <w:rFonts w:ascii="Times New Roman" w:hAnsi="Times New Roman"/>
          <w:sz w:val="28"/>
          <w:szCs w:val="28"/>
          <w:lang w:val="ru-RU"/>
        </w:rPr>
        <w:t>Решитова Э.М.</w:t>
      </w:r>
      <w:r w:rsidRPr="008B471F">
        <w:rPr>
          <w:rFonts w:ascii="Times New Roman" w:hAnsi="Times New Roman"/>
          <w:sz w:val="28"/>
          <w:szCs w:val="28"/>
          <w:lang w:val="ru-RU"/>
        </w:rPr>
        <w:t xml:space="preserve"> верно квалифицированы по ч.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8B471F">
        <w:rPr>
          <w:rFonts w:ascii="Times New Roman" w:hAnsi="Times New Roman"/>
          <w:sz w:val="28"/>
          <w:szCs w:val="28"/>
          <w:lang w:val="ru-RU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14.1.2</w:t>
      </w:r>
      <w:r w:rsidRPr="008B471F">
        <w:rPr>
          <w:rFonts w:ascii="Times New Roman" w:hAnsi="Times New Roman"/>
          <w:sz w:val="28"/>
          <w:szCs w:val="28"/>
          <w:lang w:val="ru-RU"/>
        </w:rPr>
        <w:t xml:space="preserve"> КоАП РФ, а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8B471F">
        <w:rPr>
          <w:rFonts w:ascii="Times New Roman" w:hAnsi="Times New Roman"/>
          <w:sz w:val="28"/>
          <w:szCs w:val="28"/>
          <w:lang w:val="ru-RU"/>
        </w:rPr>
        <w:t xml:space="preserve"> вина в совершении указанного правонарушения подтверждается письменными доказательствами, имеющимися в материалах дела. </w:t>
      </w:r>
    </w:p>
    <w:p w:rsidR="00C24CF3" w:rsidRPr="00516D2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C01F2">
        <w:t>&lt;данные изъяты&gt;</w:t>
      </w:r>
      <w:r w:rsidRPr="00516D26"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Решитов</w:t>
      </w:r>
      <w:r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16D26"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3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подтверждается материалами дела: постановлением </w:t>
      </w:r>
      <w:r w:rsidR="002C01F2">
        <w:t>&lt;данные изъяты&gt;</w:t>
      </w:r>
      <w:r w:rsidR="004B39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1F2">
        <w:t>&lt;</w:t>
      </w:r>
      <w:r w:rsidR="002C01F2">
        <w:rPr>
          <w:lang w:val="ru-RU"/>
        </w:rPr>
        <w:t>ФИО1</w:t>
      </w:r>
      <w:r w:rsidR="002C01F2">
        <w:t>&gt;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B39BE">
        <w:rPr>
          <w:rFonts w:ascii="Times New Roman" w:hAnsi="Times New Roman" w:cs="Times New Roman"/>
          <w:sz w:val="28"/>
          <w:szCs w:val="28"/>
          <w:lang w:val="ru-RU"/>
        </w:rPr>
        <w:t>03.12</w:t>
      </w:r>
      <w:r w:rsidRPr="00516D26" w:rsidR="00161122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16D26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="004B39BE">
        <w:rPr>
          <w:rFonts w:ascii="Times New Roman" w:hAnsi="Times New Roman" w:cs="Times New Roman"/>
          <w:sz w:val="28"/>
          <w:szCs w:val="28"/>
          <w:lang w:val="ru-RU"/>
        </w:rPr>
        <w:t>Решитов Э.М</w:t>
      </w:r>
      <w:r w:rsidRPr="00516D26" w:rsidR="003E73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39BE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</w:t>
      </w:r>
      <w:r w:rsidRPr="00516D26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 с нарушением </w:t>
      </w:r>
      <w:r w:rsidR="004B39BE">
        <w:rPr>
          <w:rFonts w:ascii="Times New Roman" w:hAnsi="Times New Roman" w:cs="Times New Roman"/>
          <w:sz w:val="28"/>
          <w:szCs w:val="28"/>
          <w:lang w:val="ru-RU"/>
        </w:rPr>
        <w:t xml:space="preserve">полностью </w:t>
      </w:r>
      <w:r w:rsidRPr="00516D26" w:rsidR="0077253B">
        <w:rPr>
          <w:rFonts w:ascii="Times New Roman" w:hAnsi="Times New Roman" w:cs="Times New Roman"/>
          <w:sz w:val="28"/>
          <w:szCs w:val="28"/>
          <w:lang w:val="ru-RU"/>
        </w:rPr>
        <w:t>согласил</w:t>
      </w:r>
      <w:r w:rsidRPr="00516D26" w:rsidR="003E733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85327E">
        <w:rPr>
          <w:rFonts w:ascii="Times New Roman" w:hAnsi="Times New Roman" w:cs="Times New Roman"/>
          <w:sz w:val="28"/>
          <w:szCs w:val="28"/>
          <w:lang w:val="ru-RU"/>
        </w:rPr>
        <w:t xml:space="preserve">письмом </w:t>
      </w:r>
      <w:r w:rsidR="002C01F2">
        <w:t>&lt;данные изъяты&gt;</w:t>
      </w:r>
      <w:r w:rsidR="00853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1F2">
        <w:t>&lt;</w:t>
      </w:r>
      <w:r w:rsidR="002C01F2">
        <w:rPr>
          <w:lang w:val="ru-RU"/>
        </w:rPr>
        <w:t>ФИО2</w:t>
      </w:r>
      <w:r w:rsidR="002C01F2">
        <w:t>&gt;</w:t>
      </w:r>
      <w:r w:rsidR="0085327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C01F2">
        <w:t>&lt;данные изъяты&gt;</w:t>
      </w:r>
      <w:r w:rsidR="00D662DB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№ </w:t>
      </w:r>
      <w:r w:rsidR="002C01F2">
        <w:t>&lt;данные изъяты&gt;</w:t>
      </w:r>
      <w:r w:rsidR="00D662DB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должностной инструкции </w:t>
      </w:r>
      <w:r w:rsidR="002C01F2">
        <w:t>&lt;данные изъяты&gt;</w:t>
      </w:r>
      <w:r w:rsidR="00D662DB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</w:t>
      </w:r>
      <w:r w:rsidR="002C01F2">
        <w:t>&lt;данные изъяты&gt;</w:t>
      </w:r>
      <w:r w:rsidR="00D662DB">
        <w:rPr>
          <w:rFonts w:ascii="Times New Roman" w:hAnsi="Times New Roman" w:cs="Times New Roman"/>
          <w:sz w:val="28"/>
          <w:szCs w:val="28"/>
          <w:lang w:val="ru-RU"/>
        </w:rPr>
        <w:t xml:space="preserve"> 08.04.2019г., с которой Решитов Э.М. ознакомлен 08.04.2019г.; докладной запиской </w:t>
      </w:r>
      <w:r w:rsidR="002C01F2">
        <w:t>&lt;данные изъяты&gt;</w:t>
      </w:r>
      <w:r w:rsidR="00D66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1F2">
        <w:t>&lt;</w:t>
      </w:r>
      <w:r w:rsidR="002C01F2">
        <w:rPr>
          <w:lang w:val="ru-RU"/>
        </w:rPr>
        <w:t>ФИО3</w:t>
      </w:r>
      <w:r w:rsidR="002C01F2">
        <w:t>&gt;</w:t>
      </w:r>
      <w:r w:rsidR="00D662DB">
        <w:rPr>
          <w:rFonts w:ascii="Times New Roman" w:hAnsi="Times New Roman" w:cs="Times New Roman"/>
          <w:sz w:val="28"/>
          <w:szCs w:val="28"/>
          <w:lang w:val="ru-RU"/>
        </w:rPr>
        <w:t xml:space="preserve"> от 29.11.2019г.</w:t>
      </w:r>
    </w:p>
    <w:p w:rsidR="00C24CF3" w:rsidRPr="00516D26" w:rsidP="003E7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 заключение прокурора по делу, и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C01F2">
        <w:t>&lt;данные изъяты&gt;</w:t>
      </w:r>
      <w:r w:rsidRPr="00516D26" w:rsidR="00103F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Решитов </w:t>
      </w:r>
      <w:r w:rsidR="00103F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103F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103FA9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BE1F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E1FF3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BE1FF3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11.23</w:t>
        </w:r>
      </w:hyperlink>
      <w:r w:rsidRPr="00BE1FF3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516D26" w:rsidP="002C7D5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2C01F2">
        <w:t>&lt;данные изъяты&gt;</w:t>
      </w:r>
      <w:r w:rsidRPr="00516D26"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Решитов</w:t>
      </w:r>
      <w:r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16D26"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2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 в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области </w:t>
      </w:r>
      <w:r w:rsidR="00672AF1"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 и деятельности саморегулируемых организаций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, личность правонарушителя, е</w:t>
      </w:r>
      <w:r w:rsidRPr="00516D26" w:rsidR="003E73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Pr="00516D26" w:rsidR="003E73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C24CF3" w:rsidRPr="00516D26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26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C01F2">
        <w:t>&lt;данные изъяты&gt;</w:t>
      </w:r>
      <w:r w:rsidRPr="00516D26"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Решитов</w:t>
      </w:r>
      <w:r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6D26"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F1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</w:t>
      </w:r>
      <w:r w:rsidRPr="00516D26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</w:t>
      </w:r>
      <w:r w:rsidRPr="00516D26" w:rsidR="00AD25FC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516D26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516D26" w:rsidR="00AD25FC">
        <w:rPr>
          <w:rFonts w:ascii="Times New Roman" w:hAnsi="Times New Roman" w:cs="Times New Roman"/>
          <w:sz w:val="28"/>
          <w:szCs w:val="28"/>
        </w:rPr>
        <w:t>е</w:t>
      </w:r>
      <w:r w:rsidRPr="00516D26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516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6D26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672AF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16D26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eastAsia="ru-RU"/>
        </w:rPr>
        <w:t xml:space="preserve">статьи </w:t>
      </w:r>
      <w:r w:rsidR="00672AF1">
        <w:rPr>
          <w:rFonts w:ascii="Times New Roman" w:hAnsi="Times New Roman" w:cs="Times New Roman"/>
          <w:sz w:val="28"/>
          <w:szCs w:val="28"/>
          <w:lang w:eastAsia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24CF3" w:rsidRPr="00516D26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ст.ст. 29.9-29.11 КоАП РФ, мировой судья, </w:t>
      </w:r>
    </w:p>
    <w:p w:rsidR="00C24CF3" w:rsidRPr="00516D26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24CF3" w:rsidRPr="00516D26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516D2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&lt;данные изъяты&gt;</w:t>
      </w:r>
      <w:r w:rsidRPr="00516D26" w:rsidR="0020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Решитова Энвера Муслимовича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16D26" w:rsidR="00D043D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2028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20282D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4CF3" w:rsidRPr="00516D2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16D2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516D26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516D26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516D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16D26" w:rsid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516D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Pr="00516D26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C24CF3" w:rsidRPr="00516D26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C24CF3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5FC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5FC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0A83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5FC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516D26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D66C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A49C8"/>
    <w:rsid w:val="000B0FB0"/>
    <w:rsid w:val="000B48DB"/>
    <w:rsid w:val="000C544B"/>
    <w:rsid w:val="000D02CA"/>
    <w:rsid w:val="000D7FF2"/>
    <w:rsid w:val="000E069D"/>
    <w:rsid w:val="000E35DF"/>
    <w:rsid w:val="000F0235"/>
    <w:rsid w:val="000F4FE0"/>
    <w:rsid w:val="00100A4E"/>
    <w:rsid w:val="0010162B"/>
    <w:rsid w:val="00102344"/>
    <w:rsid w:val="00103FA9"/>
    <w:rsid w:val="0012078B"/>
    <w:rsid w:val="00134ED0"/>
    <w:rsid w:val="001365B7"/>
    <w:rsid w:val="001373E6"/>
    <w:rsid w:val="001429B3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01F2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59F2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16D26"/>
    <w:rsid w:val="00521EE1"/>
    <w:rsid w:val="00530214"/>
    <w:rsid w:val="00532CE8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5514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2AF1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A0078"/>
    <w:rsid w:val="006A05A4"/>
    <w:rsid w:val="006A083C"/>
    <w:rsid w:val="006A189D"/>
    <w:rsid w:val="006A1F4F"/>
    <w:rsid w:val="006B0D0D"/>
    <w:rsid w:val="006B57F9"/>
    <w:rsid w:val="006C2E31"/>
    <w:rsid w:val="006C5035"/>
    <w:rsid w:val="006D5254"/>
    <w:rsid w:val="006D73EF"/>
    <w:rsid w:val="006E5A7E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B4D11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327E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471F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2B1"/>
    <w:rsid w:val="00AC2B96"/>
    <w:rsid w:val="00AC6D7A"/>
    <w:rsid w:val="00AC7F80"/>
    <w:rsid w:val="00AD2214"/>
    <w:rsid w:val="00AD25FC"/>
    <w:rsid w:val="00AD7390"/>
    <w:rsid w:val="00AE14CC"/>
    <w:rsid w:val="00AE68B7"/>
    <w:rsid w:val="00AF29D8"/>
    <w:rsid w:val="00AF4532"/>
    <w:rsid w:val="00AF6C76"/>
    <w:rsid w:val="00B00747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6168"/>
    <w:rsid w:val="00BD7D06"/>
    <w:rsid w:val="00BE1FF3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F0AC5"/>
    <w:rsid w:val="00CF108D"/>
    <w:rsid w:val="00CF3B9E"/>
    <w:rsid w:val="00D043D3"/>
    <w:rsid w:val="00D0458C"/>
    <w:rsid w:val="00D046C8"/>
    <w:rsid w:val="00D07280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81735"/>
    <w:rsid w:val="00D858DF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A8B"/>
    <w:rsid w:val="00F320F4"/>
    <w:rsid w:val="00F35287"/>
    <w:rsid w:val="00F37D49"/>
    <w:rsid w:val="00F43CC3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DFE"/>
    <w:rsid w:val="00F90AB6"/>
    <w:rsid w:val="00F91A54"/>
    <w:rsid w:val="00FA00FA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423B"/>
    <w:rsid w:val="00FF3C7F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2872B2-FFEB-4DC7-A0C6-CB1D4F7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rsid w:val="009424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9278/46d821eba53084cb0cdfabe859d6c2df368b4d9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