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B5339C">
        <w:rPr>
          <w:rFonts w:ascii="Times New Roman" w:hAnsi="Times New Roman" w:cs="Times New Roman"/>
          <w:b/>
          <w:sz w:val="26"/>
          <w:szCs w:val="26"/>
        </w:rPr>
        <w:t>006</w:t>
      </w:r>
      <w:r w:rsidR="00D22301">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sidR="00370ECA">
        <w:rPr>
          <w:rFonts w:ascii="Times New Roman" w:hAnsi="Times New Roman" w:cs="Times New Roman"/>
          <w:sz w:val="26"/>
          <w:szCs w:val="26"/>
        </w:rPr>
        <w:t>2</w:t>
      </w:r>
      <w:r>
        <w:rPr>
          <w:rFonts w:ascii="Times New Roman" w:hAnsi="Times New Roman" w:cs="Times New Roman"/>
          <w:sz w:val="26"/>
          <w:szCs w:val="26"/>
        </w:rPr>
        <w:t>0 (одна тысяча</w:t>
      </w:r>
      <w:r w:rsidR="00370ECA">
        <w:rPr>
          <w:rFonts w:ascii="Times New Roman" w:hAnsi="Times New Roman" w:cs="Times New Roman"/>
          <w:sz w:val="26"/>
          <w:szCs w:val="26"/>
        </w:rPr>
        <w:t xml:space="preserve"> двадцать</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0ECA"/>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E6369"/>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11637"/>
    <w:rsid w:val="00B23C26"/>
    <w:rsid w:val="00B5339C"/>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2301"/>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52E4-4810-41AA-B321-2F67BCEC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