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5-22-689/2020</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ранее привлекавшейся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извещена судебной повесткой лично под роспись дата, о причине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судом не установлено; обстоятельством, отягчающим административную ответственность, является повторное совершение однородного административного правонарушения по гл. 15 КоАП РФ.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39211601151019000140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