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№5-22-7/2021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гражданина РФ; зарегистрированного и проживающего по адресу: адрес;  со средним образованием;  официально не трудоустроенного;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  .  .</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фио освободить от административной ответственности по  ч.25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ч.25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№5-22- 1/2021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гражданина РФ; зарегистрированной по адресу: адрес; фактически проживающей по адресу: адрес; с высшим образованием; временно не трудоустроенной; имеющей на иждивении малолетнего  ребенка, паспортные данные;  ранее не привлекавшейся к административной ответственности,</w:t>
      </w:r>
    </w:p>
    <w:p w:rsidR="00A77B3E">
      <w:r>
        <w:t xml:space="preserve">                                                            УСТАНОВИЛ:</w:t>
      </w:r>
    </w:p>
    <w:p w:rsidR="00A77B3E">
      <w:r>
        <w:t xml:space="preserve">                                                                       .  .  .</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фио освободить от административной ответственности по  ч.25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ч.25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r>
        <w:t xml:space="preserve">                                                                                                                                                                                                                                                                                                                                                                       </w:t>
      </w:r>
    </w:p>
    <w:p w:rsidR="00A77B3E">
      <w:r>
        <w:t xml:space="preserve">                                                                                                                      Дело №5-22- 489/2020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защитника – адвоката  фио, действующей  на основании ордера №73 от дата,</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х/с Вахшский, адрес гражданина РФ; зарегистрированного и проживающего по адресу: адрес; с высшим образованием; пенсионера,</w:t>
      </w:r>
    </w:p>
    <w:p w:rsidR="00A77B3E">
      <w:r>
        <w:t xml:space="preserve">                                                            УСТАНОВИЛ:</w:t>
      </w:r>
    </w:p>
    <w:p w:rsidR="00A77B3E">
      <w:r>
        <w:t xml:space="preserve">                                                                       .  .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ч.25 ст.19.5 КоАП РФ, в отношении  фио  на основании п.2 ч.1 ст.24.5 КоАП РФ в связи с отсутствием в его действиях состава административного правонарушения, предусмотренного   ч.25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5-22- 343/2020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 гражданки РФ; зарегистрированной и проживающей по адресу: адрес, </w:t>
      </w:r>
    </w:p>
    <w:p w:rsidR="00A77B3E">
      <w:r>
        <w:t xml:space="preserve">                                                            УСТАНОВИЛ:</w:t>
      </w:r>
    </w:p>
    <w:p w:rsidR="00A77B3E">
      <w:r>
        <w:t xml:space="preserve">                                                                       .  .  .</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дата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