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5-22-0013/2020</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гражданина РФ, зарегистрированного и проживающего по адресу: телефон, РК, адрес, ул. садовая Павленко, д. 20/4, кв. 2; ранее не привлекавшегося к административной ответственности;</w:t>
      </w:r>
    </w:p>
    <w:p w:rsidR="00A77B3E"/>
    <w:p w:rsidR="00A77B3E">
      <w:r>
        <w:t>УСТАНОВИЛ:</w:t>
      </w:r>
    </w:p>
    <w:p w:rsidR="00A77B3E"/>
    <w:p w:rsidR="00A77B3E">
      <w:r>
        <w:t xml:space="preserve">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на 1 застрахованное лицо, форма СЗВ-М «Дополняющая» за июль предоставлена дата в форме электронного документа с использованием информационно-телекоммуникационных сетей на 1 застрахованное лицо, сведения на которое ранее в форме СЗВ-М «Исходная» не представлялись.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извещен судебными повестками по месту жительства и по месту нахождения организации, которые были возвращены в суд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на 1 застрахованное лицо, форма СЗВ-М «Дополняющая» за июль предоставлена дата в форме электронного документа с использованием информационно-телекоммуникационных сетей на 1 застрахованное лицо, сведения на которое ранее в форме СЗВ-М «Исходная» не представлялись.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