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5-22-15/2022</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ст.88 НК РФ не исполнил обязанность по предоставлению пояснений на Требование о предоставлении пояснений от дата № 1111 и внесению соответствующих исправлений в налоговую декларацию по УСН за дата  в течение пяти рабочих дней  со дня получения этого Требования, а именно в срок - не позднее дата, фактически предоставив данные  пояснения  дата.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судебной повесткой дата.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дата налоговый орган направил в адрес наименование организации Требование о предоставлении пояснений от дата № 1111 и внесению соответствующих исправлений в налоговую декларацию по УСН за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налоговую декларацию по УСН за дата – не позднее дата.</w:t>
      </w:r>
    </w:p>
    <w:p w:rsidR="00A77B3E">
      <w:r>
        <w:t xml:space="preserve">        Фактически пояснения на Требование о предоставлении пояснений от дата № 1111 и внесении соответствующих исправлений в налоговую декларацию по УСН за дата были предоставлены в налоговый орган – дата.</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отчетом об отслеживании почтового отправления; уведомлением о составлении протокола; копией уведомления о вручении фио уведомления о составлении протокола; Требованием №1111 о предоставлении пояснений от дата; подтверждением даты отправки наименование организации (1ВЕ)  документа в адрес наименование организации; квитанцией о приеме документа; Актом налоговой проверки № 2644 от дата об обнаружении фактов, свидетельствующих о предусмотренных НК РФ налоговых правонарушениях; сведениями о физических лицах, имеющих право без доверенности действовать от имени юридического лица на фио; выпиской из ЕГРЮЛ в отношении наименование организации, из которой усматривается, что фио является директором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совершение правонарушения впервые; незначительный период просрочки предоставления сведений  в налоговый орган. Обстоятельств, отягчающих административную ответственность, не установлено.</w:t>
      </w:r>
    </w:p>
    <w:p w:rsidR="00A77B3E">
      <w:r>
        <w:t xml:space="preserve">                    При этом судья принял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доказательства, подтверждающие наличие у  фио умысла, направленного на систематическое нарушение относительно сроков подачи документов в  налоговый орган, не выявлены; ст.15.6 КоАП РФ не входит в перечень исключений, предусмотренных ч. 2 ст.3.4 и  ч. 2 ст.4.1.1  КоАП РФ, по которым  замена  административного штрафа на предупреждение не  предусмотрена; наименование организации  относится к субъектам малого предпринимательства и зарегистрировано в соответствующем реестре как микропредприятие с дата.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