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5-22-521/2024</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в отношении председателя совета РПО адрес фио фио, паспортные данные; гражданина РФ, паспортные данные, зарегистрированного и проживающего по адресу: адрес проезд, 16 к.1 кв. 748, сведения о привлечении к административной ответственности отсутствуют,</w:t>
      </w:r>
    </w:p>
    <w:p w:rsidR="00A77B3E">
      <w:r>
        <w:t>У С Т А Н О В И Л:</w:t>
      </w:r>
    </w:p>
    <w:p w:rsidR="00A77B3E"/>
    <w:p w:rsidR="00A77B3E">
      <w:r>
        <w:t>фио, являясь председателем совета РПО адрес, расположенного по адресу: адрес, в нарушение п.3 ст.88 НК РФ не исполнил обязанность по предоставлению пояснений и внесению соответствующих исправлений в налоговую декларацию по упрощенной системе налогообложения за дата от дата № 2104669587 по требованию о предоставлении пояснений от дата № 1839. Тем самым, совершил административное правонарушение, предусмотренное ч.1 ст.15.6 КоАП РФ.</w:t>
      </w:r>
    </w:p>
    <w:p w:rsidR="00A77B3E">
      <w:r>
        <w:t>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в суд не 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РПО адрес дата Требование о предоставлении пояснений от дата № 1839 и внесению соответствующих исправлений в налоговую декларацию по упрощенной системе налогообложения за дата от дата № 2104669587, которое получено дата,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налоговую декларацию по упрощенной системе налогообложения за дата от дата № 2104669587 – не позднее дата.</w:t>
      </w:r>
    </w:p>
    <w:p w:rsidR="00A77B3E">
      <w:r>
        <w:t xml:space="preserve">       Пояснения на Требование о предоставлении пояснений от дата № 1839 и внесению соответствующих исправлений в налоговую декларацию по упрощенной системе налогообложения за дата от дата № 2104669587 были предоставлены –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Требованием № 1839 о предоставлении пояснений от дата; квитанцией о приеме; списком внутренних почтовых отправлений, отчетом об отслеживании почтовых отправлений; выпиской из ЕГРЮЛ, сведениями о направлении протокола об АП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председателя совета РПО адрес фио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0410760300225005212415133.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