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5-22-117/2019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ч.2 ст. 15.33 КоАП РФ в отношении директора наименование организации фио, паспортные данные гражданина России; зарегистрированного и проживающего по адресу: адрес; ранее не привлекавшегося к административной ответственности, </w:t>
      </w:r>
    </w:p>
    <w:p w:rsidR="00A77B3E">
      <w:r>
        <w:t xml:space="preserve"> </w:t>
      </w:r>
    </w:p>
    <w:p w:rsidR="00A77B3E">
      <w:r>
        <w:t xml:space="preserve">                                                                        установил:                </w:t>
      </w:r>
    </w:p>
    <w:p w:rsidR="00A77B3E"/>
    <w:p w:rsidR="00A77B3E">
      <w:r>
        <w:t xml:space="preserve">        фио, являясь директором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9 месяцев дата. Следовательно, совершил административное правонарушение, предусмотренное  ч.2 ст.15.33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лица по почте заказными письмом с уведомлением была направлена  судебная повестка, которая была получена лично под роспись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ФЗ от дата №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страховых взносов по месту своего учета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 расчет по начисленным и уплаченным страховым взносам. Следовательно, последний день сдачи отчетности в органы Фонда социального страхования за 09 месяцев дата – дата в форме электронного документа.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расчета по начисленным и уплаченным страховым взносам  за 9 месяцев дата - установлен не позднее дата, фактически расчет по начисленным и уплаченным страховым взносам  за 9 месяцев дата был представлен в органы Фонда социального страхования дата в форме электронного документа с использованием информационно-телекоммуникационных сетей. </w:t>
      </w:r>
    </w:p>
    <w:p w:rsidR="00A77B3E">
      <w:r>
        <w:t xml:space="preserve">              Факт совершения директором наименование организации фио административного правонарушения, предусмотренного ч.2 ст. 15.33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12 от дата; копией квитанции; копией расчета по начисленным и уплаченным страховым взносам; копией файла расчета;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в том числе, незначительный период пропуска срока подачи сведений (4 дня), совершение подобного правонарушения впервые; личность правонарушителя; степень его вины.    </w:t>
      </w:r>
    </w:p>
    <w:p w:rsidR="00A77B3E">
      <w:r>
        <w:t xml:space="preserve">       Обстоятельством, смягчающим административную ответственность, является незначительный период пропуска срока подачи сведений (4 дня), совершение подобного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ч.2 ст.15.33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39311690070076000140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