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№ 5-22- 75/2020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гражданина  РФ; зарегистрированного и проживающего по адресу: адрес; со средним техническим образованием; не состоящего в зарегистрированном браке; официально не трудоустроенного; ранее привлекавшегося к административной ответственности; ранее судимого;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д.54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Справкой по результатам медицинского освидетельствования на состояние опьянения от дата, согласно которой у фио установлено алкогольное опьянение; письменными объяснениями фио, в которых он  подтвердил, что накануне вечером дата он употреблял спиртные напитки;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Обстоятельством, отягчающим административную ответственность, является повторное совершение однородного административного правонарушения. При этом мировым судьей учтено, что ранее назначенные административные штрафы  нарушителем уплачены.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Украины; зарегистрированного  по адресу: адрес; вменено проживающего по адресу: адрес;  со средним  образованием; не состоящего в зарегистрированном браке; официально не трудоустроенного;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д.11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фио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5-22-99/2018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 женатого; имеющего одного несовершеннолетнего ребенка, паспортные данные; работающего в наименование организации  рабочим по комплексному обслуживанию и  ремонту  зданий;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дата в время   гражданин   фио в общественном месте в   помещении наименование организации  по адресу: адрес, около кабинета  нарколога,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 по  результатам  медицинского освидетельствования  на состояние опьянения от дата, согласно которой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в течение одного года совершение однородных административных правонарушений, посягающих   на общественный порядок  и общественную  безопасность.</w:t>
      </w:r>
    </w:p>
    <w:p w:rsidR="00A77B3E">
      <w:r>
        <w:t xml:space="preserve">                На основании   вышеизложенного  суд считает, что в качестве наказания    фио  необходимо назначить административный арест на срок – 3 суток.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ст.20.21 КоАП РФ, и назначить ему административное наказание в виде  административного ареста на срок  03 (трое) суток. </w:t>
      </w:r>
    </w:p>
    <w:p w:rsidR="00A77B3E">
      <w:r>
        <w:t xml:space="preserve">       Срок  ареста исчислять с время  дата.</w:t>
      </w:r>
    </w:p>
    <w:p w:rsidR="00A77B3E"/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