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5-22-87/2024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холостого, не работающего, военнообязанного, ранее не привлекавшегося к административной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части 3 ст.12.5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 в судебное заседание явился, вину признал, просил строго не наказывать.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штрафа, результатами поиска административных правонарушений.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0410760300225000872420119; назначение платежа: «штраф по делу об административном правонарушении по постановлению № 5-22-87/2024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