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5-22-178/2022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 РФ; паспортные данные; не состоящего в зарегистрированном браке;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ст.20.25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своевременно   назначенный  штраф в связи  утерей реквизитов для оплаты. Просил строго его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ознакомлен;  листом ознакомления с правами; копией постановления от дата о привлечении фио к административной ответственности по ч.1 ст. 20.25 КоАП РФ и назначении ему административного штрафа в размере сумма, постановление вступило в силу дата; постановлением о возбуждении исполнительного производства от дата; письменными объяснениями фио; копией паспорта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вины.  Обстоятельством, отягчающим административную ответственность,  является повторное совершение однородного административного правонарушения.</w:t>
      </w:r>
    </w:p>
    <w:p w:rsidR="00A77B3E">
      <w:r>
        <w:t xml:space="preserve">       На основании вышеизложенного, мировой судья полагает, что  наказание  должно быть назначено в виде  в виде  обязательных работ на срок  40 (сорок) часов.</w:t>
      </w:r>
    </w:p>
    <w:p w:rsidR="00A77B3E">
      <w:r>
        <w:t xml:space="preserve">                         Руководствуясь ст.ст.  29.10-29.11  КоАП РФ, мировой судья</w:t>
      </w:r>
    </w:p>
    <w:p w:rsidR="00A77B3E"/>
    <w:p w:rsidR="00A77B3E">
      <w:r>
        <w:tab/>
        <w:tab/>
        <w:tab/>
        <w:tab/>
        <w:t xml:space="preserve">                 ПОСТАНОВИЛ:</w:t>
      </w:r>
    </w:p>
    <w:p w:rsidR="00A77B3E"/>
    <w:p w:rsidR="00A77B3E">
      <w:r>
        <w:t xml:space="preserve">        Признать фио виновным в совершении административного правонарушения, предусмотренного  ч.1 ст. 20.25 КоАП РФ, и назначить ему наказание в виде  обязательных работ на срок 40 (сорок)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 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A77B3E">
      <w:r>
        <w:t xml:space="preserve">                   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