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5-22-399/2019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гражданки РФ; зарегистрированной и проживающей по адресу: адрес; ранее привлекавшейся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сведения по форме СЗВ-М тип «Исходная» за дата. Так, фактически сведения  по форме СЗВ-М тип «Исходная» за дата  были  представлены дата по форме электронного документа с использованием информационно-телекоммуникационных сетей.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а также в адрес организации по почте заказным письмом с уведомлением были направлены судебные повестки. Судебная корреспонденция возвращена в суд не врученной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отчетный период - за дата - установлен не позднее дата; фактически, сведения  по форме СЗВ-М тип «Исходная» за отчетный период - за дата были  представлены дата по форме электронного документа с использованием информационно-телекоммуникационных сетей, то есть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уведомлением о составлении протокола, реестром отправленных писем, отчетом об отслеживании почтового отправления.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