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5-22-148/2022</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п.4 ст. 289 гл.25 части второй НК РФ, не предоставил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 административное правонарушение, предусмотренное ст.15.5  КоАП РФ.</w:t>
      </w:r>
    </w:p>
    <w:p w:rsidR="00A77B3E">
      <w:r>
        <w:t xml:space="preserve">В судебное заседание фио не явился. Извещен СМС-оповищением дата. О причинах своей неявки суд не уведомил.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Факт совершения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извещением о составлении протокола, налоговой декларацией по налогу на прибыль организаций; Актом камеральной налоговой проверки;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