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5-22-182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 гражданина РФ; с высшим образованием,   зарегистрированного  и проживающего по адресу: адрес; официально не трудоустроенного; не состоящего в зарегистрированном браке; имеющего на иждивении малолетнего ребенка;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