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5-22-194/2018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состоящего в зарегистрированном браке;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около д.1, управляя автомобилем марки «ДЭУ Нексия», государственный регистрационный знак А657ЕК01,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Просил учесть, что на его иждивении находится трое нетрудоспособных лиц – жена и  их престарелые матери, а поэтому просил строго не наказывать, и не лишать права управления транспортными средствами.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помимо признания  фио вины в его совершении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w:t>
      </w:r>
    </w:p>
    <w:p w:rsidR="00A77B3E">
      <w:r>
        <w:t xml:space="preserve">            - протоколом о направлении на медицинское освидетельствование на состояние опьянения от дата,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письменными объяснениями фио, в которых он собственноручно  указал, что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претензий к инспекторам  ГИБДД  не имеет.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Как указано в п.21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нахождение  на иждивении нетрудоспособных лиц.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18810491181500000365.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