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5-22-266/2024</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ч.2 ст.12.7 КоАП РФ, </w:t>
      </w:r>
    </w:p>
    <w:p w:rsidR="00A77B3E">
      <w:r>
        <w:t>в отношении фио, паспортные данные адрес, гражданина РФ; паспортные данные; зарегистрированного и проживающего по адресу: адрес, работающего лифтером  наименование организации, женатого, военнообязанного;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мопедом марка автомобиля, б/н,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протоколом об отстранении от управления транспортным средством от дата;  протоколом о задержании т/с от дата; копией справки о результатах ХТИ № 325 от дата; копией акта освидетельствования на состояние алкогольного опьянения от дата; копией протокола о направлении на медицинское освидетельствование на состояние опьянения от дата; копией акта медицинского освидетельствования на состояние опьянения от дата; копией постановления о возбуждении уголовного дела и принятии его к производству от дата; копией приговора от дата; видеозаписью, на которой зафиксирован факт административного правонарушения; справкой о привлечении фио к уголовной ответственности по ч.1 ст. 264 УК РФ, согласно которой, срок лишения права заниматься деятельностью, связанной с управлением транспортным средством истекает – дата;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18810491241500001473.</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