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№5-22-286/2021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данные, УССР; зарегистрированного и проживающего по адресу: адрес;  с неполным средним образованием; официально не трудоустроенного; состоящего в зарегистрированном браке; имеющего на иждивении пятерых несовершеннолетних детей; ранее не привлекавшегося к административной ответственности,</w:t>
      </w:r>
    </w:p>
    <w:p w:rsidR="00A77B3E">
      <w:r>
        <w:t xml:space="preserve"> 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фио в общественном месте по адресу: адрес, вблизи адрес,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неопрятный внешний вид;  слабо ориентировался в окружающей обстановке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  правонарушителя,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очевидца правонарушения фио; Актом медицинского освидетельствования на состояние опьянения (алкогольного, наркотического  или иного токсического) от дата, согласно которому фио отказался от прохождения медицинского освидетельствования на состояние опьянения;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содеянном;   наличие на иждивении малолетних детей. Обстоятельств, отягчающих административную ответственность,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более суток отсидел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по постановлению №5-22-286/2021 от дата».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