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№5-22-300/2022</w:t>
      </w:r>
    </w:p>
    <w:p w:rsidR="00A77B3E">
      <w:r>
        <w:t xml:space="preserve">                                                                    ПОСТАНОВЛЕНИЕ</w:t>
      </w:r>
    </w:p>
    <w:p w:rsidR="00A77B3E">
      <w:r>
        <w:t>по делу об административном правонарушении</w:t>
      </w:r>
    </w:p>
    <w:p w:rsidR="00A77B3E">
      <w:r>
        <w:t xml:space="preserve"> дата                                                                                  адрес</w:t>
      </w:r>
    </w:p>
    <w:p w:rsidR="00A77B3E">
      <w:r>
        <w:t>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генерального директора наименование организации фио, паспортные данные; зарегистрированного и проживающего по адресу: адрес, 3-е почтовое отделение, д. 56 кв. 5,</w:t>
      </w:r>
    </w:p>
    <w:p w:rsidR="00A77B3E">
      <w:r>
        <w:t xml:space="preserve">                                                                 УСТАНОВИЛ:</w:t>
      </w:r>
    </w:p>
    <w:p w:rsidR="00A77B3E"/>
    <w:p w:rsidR="00A77B3E">
      <w:r>
        <w:t xml:space="preserve"> Генеральным директором наименование организации фио, проживающим по адресу: адрес, 3-е почтовое отделение, д. 56 кв. 5, не исполнена обязанность по предоставлению годовой</w:t>
      </w:r>
    </w:p>
    <w:p w:rsidR="00A77B3E">
      <w:r>
        <w:t>бухгалтерской (финансовой) отчетности, чем нарушена ч.З ст.18 Федерального закона от</w:t>
      </w:r>
    </w:p>
    <w:p w:rsidR="00A77B3E">
      <w:r>
        <w:t>дата № 402-ФЗ «О бухгалтерском учете» (далее - ФЗ «О бухгалтерском учете»), а именно -</w:t>
      </w:r>
    </w:p>
    <w:p w:rsidR="00A77B3E">
      <w:r>
        <w:t>обязательный экземпляр отчетности представляется экономическим субъектом в виде</w:t>
      </w:r>
    </w:p>
    <w:p w:rsidR="00A77B3E">
      <w:r>
        <w:t>электронного документа по телекоммуникационным каналам связи через оператора электронного</w:t>
      </w:r>
    </w:p>
    <w:p w:rsidR="00A77B3E">
      <w:r>
        <w:t>документооборота, являющегося российской организацией и соответствующего требованиям,</w:t>
      </w:r>
    </w:p>
    <w:p w:rsidR="00A77B3E">
      <w:r>
        <w:t>утверждаемым федеральным органом исполнительной власти, уполномоченным по контролю и</w:t>
      </w:r>
    </w:p>
    <w:p w:rsidR="00A77B3E">
      <w:r>
        <w:t>надзору в области налогов и сборов, не позднее трех месяцев после окончания отчетного периода.</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поступила в налоговый орган – дата.</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фио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 xml:space="preserve">             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фио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фио совершил административное правонарушение, предусмотренное  ст. 19.7 КоАП РФ.</w:t>
      </w:r>
    </w:p>
    <w:p w:rsidR="00A77B3E">
      <w:r>
        <w:t xml:space="preserve">        В судебное заседание фио не явился. Извещен судебной повесткой, которая возвращена в суд не врученной по истечении срока хранения. </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поступила в налоговый орган – дата.</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