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5-22-310/2019</w:t>
      </w:r>
    </w:p>
    <w:p w:rsidR="00A77B3E"/>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УССР;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65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представлялись.</w:t>
      </w:r>
    </w:p>
    <w:p w:rsidR="00A77B3E">
      <w:r>
        <w:t xml:space="preserve">В судебное заседании фио не явился, извещен судебной повесткой, направленной заказной корреспонденцией. Повестка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65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представлялись.</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который указал, что допустил правонарушение по причине сбоя программы 1-С, выпиской из Единого государственного реестра юридических лиц, извещением о доставке, проколом проверки, сведениями из базы «Аис Налог», уведомлением о составлении протокола об административном правонарушении, реестром отправленных писем, почтовым уведомлением.</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Обстоятельством, смягчающим административную ответственность является совершение административного правонарушения впервые, обстоятельств, отягчающих административную ответственность суд по делу не усматривает.</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r>
        <w:tab/>
        <w:t>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