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№5-22-439/2023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Мировой судья судебного участка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паспортные данные; проживающего по адресу: адрес; холостого; работающего поваром гостиницы «Бонлизон» (адрес;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водитель фио, управляя  транспортным средством  «Шевроле Авео» государственный регистрационный знак М 570 НВ 82,  при наличии признаков опьянения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вину признал, в содеянном раскаялся.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поведение, не соответствующее обстановке;</w:t>
      </w:r>
    </w:p>
    <w:p w:rsidR="00A77B3E">
      <w:r>
        <w:t>-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признаков опьянения (поведение, не соответствующее обстановке), о чем собственноручно указал, что отказывается;</w:t>
      </w:r>
    </w:p>
    <w:p w:rsidR="00A77B3E">
      <w:r>
        <w:t>- протоколом о задержании транспортного средства;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w:t>
      </w:r>
    </w:p>
    <w:p w:rsidR="00A77B3E">
      <w:r>
        <w:t>- результатами поиска административных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является признание вины и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18810491231500001830.</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