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5-22-765/2019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председателя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  Председатель   наименование организации, расположенного по адресу: адрес -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 xml:space="preserve">Так, фактически сведения  по форме СЗВ-М тип  (исходная) за дата  были  представлены дата на бумажном носителе.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В судебное заседание фио не явилась, извещена телефонограммой от дата, где пояснила, что с протоколом согласна, вину признает, просит рассмотреть дело в ее отсутствие.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на бумажном носителе. </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сведениями в электронной форме из базы «АИС Налог»,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являетмя признание вины и факта административного правонарушения,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 xml:space="preserve"> Признать председателя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