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5-22-366/2019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УССР;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извещен судебной повесткой, направленной заказной корреспонденцией. Предоставил суду заявление, в котором просил рассмотреть административный материал в его отсутствие, пояснил, что с протоколом об административном правонарушении согласен, вину признает, просил назначить минимальное наказание.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СЗВ-СТАЖ  за дата не позднее дата, фактически сведения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выпиской из Единого государственного реестра юридических лиц, извещением о доставке, проколом проверки, сведениями из базы «Аис Налог», уведомлением о составлении протокола об административном правонарушении, реестром отправленных писем, почтовым уведомлением.</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Обстоятельством, смягчающим административную ответственность является совершение административного правонарушения впервые, признание вины и факта административного правонарушения,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