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№5-22-494/2018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фио, паспортные данные гражданина РФ; зарегистрированного и проживающего по адресу: адрес; холостого; не работающего;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              </w:t>
      </w:r>
    </w:p>
    <w:p w:rsidR="00A77B3E">
      <w:r>
        <w:t xml:space="preserve">   дата в время, по адрес в адрес, возле дома № 15-А, гражданин фио с целью получения доходов осуществлял предпринимательскую деятельность, связанную со сдачей в прокат гироскутеров,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фио в судебное заседание не явился. Суд предпринял меры по его извещению: был извещен телефонограммой дата. Факт правонарушения признал, просил рассмотреть дело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В Постановлении Пленума Верховного Суда РФ от дата №18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правонарушением согласен;</w:t>
      </w:r>
    </w:p>
    <w:p w:rsidR="00A77B3E">
      <w:r>
        <w:t>-копией паспорта;</w:t>
      </w:r>
    </w:p>
    <w:p w:rsidR="00A77B3E">
      <w:r>
        <w:t xml:space="preserve">- фотографиями, на которых зафиксирован факт сдачи в прокат;  </w:t>
      </w:r>
    </w:p>
    <w:p w:rsidR="00A77B3E">
      <w:r>
        <w:t>- справкой на физическое лицо;</w:t>
      </w:r>
    </w:p>
    <w:p w:rsidR="00A77B3E">
      <w:r>
        <w:t>-сведениями об индивидуальном предпринимательстве, в которых указано, что фио прекратил свою деятельность как предприниматель дата;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сдаче в прокат гироскутеров;</w:t>
      </w:r>
    </w:p>
    <w:p w:rsidR="00A77B3E">
      <w:r>
        <w:t>-ходатайством о рассмотрении административного дела в его отсутствие;</w:t>
      </w:r>
    </w:p>
    <w:p w:rsidR="00A77B3E">
      <w:r>
        <w:t>- рапортом сотрудника ОМВД о выявлении факта незаконной сдачи в прокат гироскутеров.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18880491180001669968.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