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5-22-584/2021</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п.5 ст. 174 НК РФ, не предоставил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заседания судебными повестками, направленными по месту проживания и по месту нахождения организации.Судебная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2020 годапредоставлена в налоговый орган дата.</w:t>
      </w:r>
    </w:p>
    <w:p w:rsidR="00A77B3E">
      <w:r>
        <w:t>Факт совершения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отправления,уведомлением о составлении протокола,копией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