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5-22-784/2019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r>
        <w:t xml:space="preserve">                                         </w:t>
      </w:r>
    </w:p>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ст. 15.33.2 КоАП РФ в отношении председателя ТСН «ТСН по Апрельской» фио, паспортные данные гражданина РФ; с высшим образованием; пенсионера; работающего преподавателем истории в Алуштинском филиале ГБПОУ адрес «Романовский колледж индустрии гостеприимства»;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Председатель ТСН «ТСН по Апрельской»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предоставляются страхователем ежемесячно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 за дата  были  представлены дата на бумажном носителе.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явился. Ему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с протоколом об административном правонарушении согласен; пояснил, что пропустил срок подачи сведений в связи с семейными обстоятельствами; просил учесть, что нарушение совершено неумышленно и впервые; просил строго не наказывать.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на бумажном носителе. </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сведениями в электронной форме; уведомлением о составлении протокола; реестром отправленных писем; копией почтового уведомления.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Обстоятельствами, смягчающими административную ответственность являются - совершение правонарушения впервые, признание факта административного правонарушения,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председателя ТСН «ТСН по Апрельской»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