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5-22-635/2020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был извещен судебными повестками, направленными по месту жительства и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