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5-22-725/2023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председателя правления ТСН «Парус» фио, паспортные данныеадрес гражданина РФ; паспортные данные; зарегистрированного и проживающего по адресу: адрес, с высшим образованием, являющегося пенсионером, женатого, сведения о привлечении к административной ответственности отсутствуют,</w:t>
      </w:r>
    </w:p>
    <w:p w:rsidR="00A77B3E">
      <w:r>
        <w:t>У С Т А Н О В И Л:</w:t>
      </w:r>
    </w:p>
    <w:p w:rsidR="00A77B3E">
      <w:r>
        <w:t xml:space="preserve">        фио, являясь председателем правления ТСН «Парус»,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судебной повесткой, направленной по месту проживания.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дата – не позднее дата.</w:t>
      </w:r>
    </w:p>
    <w:p w:rsidR="00A77B3E">
      <w:r>
        <w:t xml:space="preserve">      Фактически расчет 6-НДФЛ за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178 от дата о привлечении лица к ответственности за налоговое правонарушение; сведениями о предоставлении в налоговый орган расчета в электронной форме, из которых усматривается, что расчет 6-НДФЛ за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правления ТСН «Парус»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0410760300225007252315161.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