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5-22-866/2018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r>
        <w:t xml:space="preserve">                                         </w:t>
      </w:r>
    </w:p>
    <w:p w:rsidR="00A77B3E">
      <w:r>
        <w:t xml:space="preserve">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директора наименование организацииадрес фио, паспортные данные гражданка РФ;  проживающей по адресу: адрес; </w:t>
      </w:r>
    </w:p>
    <w:p w:rsidR="00A77B3E">
      <w:r>
        <w:t xml:space="preserve">                                                                    установил:                </w:t>
      </w:r>
    </w:p>
    <w:p w:rsidR="00A77B3E">
      <w:r>
        <w:t xml:space="preserve">              Директор наименование организацииадрес  фио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предоставлены по форме СЗВ-СТАЖ  за дата  в форме электронного документа с использованием информационно – телекоммуникационных сетей предоставлены дата на 367  застрахованных лиц. дата после предельного срока предоставления отчетности за дата страхователем представлены сведения по форме СЗВ-СТАЖ ( дополняющая) за дата на 1 застрахованное лицо, сведения на которое раннее в форме СЗВ-СТАЖ ( исходная) не представлялись.</w:t>
      </w:r>
    </w:p>
    <w:p w:rsidR="00A77B3E">
      <w:r>
        <w:t>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явилась.  Суд предпринял меры по  его извещению: в адрес правовой регистрации по месту жительства и по адресу места нахождения организации по почте заказным письмом с уведомлением были направлены  судебные повестки. Согласно почтового уведомления, судебная повестка была вручена лично под роспись дата.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дата- установлен не позднее дата; фактически   сведения предоставлены по форме СЗВ-СТАЖ  за дата  в форме электронного документа с использованием информационно – телекоммуникационных сетей предоставлены дата на 367  застрахованных лиц. дата после предельного срока предоставления отчетности за дата страхователем представлены сведения по форме СЗВ-СТАЖ ( дополняющая) за дата на 1 застрахованное лицо, сведения на которое раннее в форме СЗВ-СТАЖ ( исходная) не представлялись.</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направлении сведений по форме СЗВ-СТАЖ, журналом приема сведении  по форме СЗВ-СТАЖ, уведомлением о составлении протокола, реестром отправленных писем, копией почтового уведомления.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(в том числе, незначительный период нарушения срока предоставления  сведений).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директора наименование организацииадрес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