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5-22-634/2019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п.п.4 п. 1 ст. 23 НК РФ, не предоставил своевременно в налоговый орган по месту учета налоговый расчет по страховым взносам за 9 месяцев дата. Тем самым совершил административное правонарушение, предусмотренное ч.1 ст.15.6  КоАП РФ.</w:t>
      </w:r>
    </w:p>
    <w:p w:rsidR="00A77B3E">
      <w:r>
        <w:t xml:space="preserve">      В судебное заседание фио не  явился, о времени и месте судебного заседания извещен судебной повесткой, которая, согласно почтового уведомления, была получена дата.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9 месяцев дата  – не позднее  дата. </w:t>
      </w:r>
    </w:p>
    <w:p w:rsidR="00A77B3E">
      <w:r>
        <w:t xml:space="preserve">       Фактически расчет по страховым взносам за 9 месяцев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составленном в присутствии фио, в котором он просил учесть, что несвоевременная сдача отчетности не повлекла потери бюджета, правонарушение совершено впервые, уведомлением о составлении протокола, решением № 340 от дата о привлечении лица к ответственности за совершение налогового правонарушения, актом камеральной налоговой проверки № 10238 от дата, сведениями о предоставлении налогового расчета в электронной форме,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